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REPUBLIQUE DU BENIN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UNIVERSITE D’ABOMEY-CALAVI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FACULTE DE DROIT ET DE SCIENCE POLITIQUE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DEPARTEMENT DROIT PUBLIC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NIVEAU D’ETUDE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LICENCE 3 DROIT PUBLIC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u w:val="single"/>
          <w:lang w:val="fr-FR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lang w:val="fr-FR"/>
        </w:rPr>
        <w:t>SYLLABUS DU COURS DE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fr-F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40"/>
          <w:szCs w:val="40"/>
          <w:u w:val="none"/>
          <w:lang w:val="fr-FR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DROIT ADMINISTRATIF DES BIENS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Chargé du cours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Hilaire </w:t>
      </w:r>
      <w:r>
        <w:rPr>
          <w:rFonts w:ascii="Times New Roman" w:hAnsi="Times New Roman" w:cs="Times New Roman"/>
          <w:b/>
          <w:sz w:val="24"/>
          <w:szCs w:val="24"/>
        </w:rPr>
        <w:t>AKEREKORO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Maître de conférences.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Agrégé de droit public (CAMES).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Enseignant-Chercheur.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Université d’Abomey-Calavi (Bénin)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  <w:t>Année 2022</w:t>
      </w:r>
    </w:p>
    <w:p>
      <w:pPr>
        <w:numPr>
          <w:ilvl w:val="0"/>
          <w:numId w:val="1"/>
        </w:numPr>
        <w:ind w:left="220" w:leftChars="0" w:firstLineChars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  <w:t>Informations concernant le cours</w:t>
      </w:r>
    </w:p>
    <w:p>
      <w:pPr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fr-FR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Filière,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fr-FR"/>
        </w:rPr>
        <w:t xml:space="preserve">nom/titre du cours,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semestre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fr-FR"/>
        </w:rPr>
        <w:t>, niveau d’étude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apprenants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fr-FR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Filière</w:t>
      </w:r>
      <w:r>
        <w:rPr>
          <w:rFonts w:ascii="Times New Roman" w:hAnsi="Times New Roman" w:cs="Times New Roman"/>
          <w:sz w:val="24"/>
          <w:szCs w:val="24"/>
        </w:rPr>
        <w:t> : Sciences juridiques.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fr-FR"/>
        </w:rPr>
        <w:t>Nom/titre du cours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Droit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administratif des biens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Semestre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fr-FR"/>
        </w:rPr>
        <w:t>Niveau d’étude (a</w:t>
      </w:r>
      <w:r>
        <w:rPr>
          <w:rFonts w:ascii="Times New Roman" w:hAnsi="Times New Roman" w:cs="Times New Roman"/>
          <w:sz w:val="24"/>
          <w:szCs w:val="24"/>
          <w:u w:val="single"/>
        </w:rPr>
        <w:t>pprenants</w:t>
      </w:r>
      <w:r>
        <w:rPr>
          <w:rFonts w:hint="default" w:ascii="Times New Roman" w:hAnsi="Times New Roman" w:cs="Times New Roman"/>
          <w:sz w:val="24"/>
          <w:szCs w:val="24"/>
          <w:u w:val="single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Étudiants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Licence 3 droit public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jc w:val="both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  <w:t>Enseignant/responsable/chargé du cours</w:t>
      </w:r>
    </w:p>
    <w:p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Hilaire </w:t>
      </w:r>
      <w:r>
        <w:rPr>
          <w:rFonts w:ascii="Times New Roman" w:hAnsi="Times New Roman" w:cs="Times New Roman"/>
          <w:b/>
          <w:sz w:val="24"/>
          <w:szCs w:val="24"/>
        </w:rPr>
        <w:t>AKEREKORO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Maître de conférences, Agrégé de droit public (CAMES), Enseignant-Chercheur,</w:t>
      </w:r>
      <w:r>
        <w:rPr>
          <w:rFonts w:hint="default" w:ascii="Times New Roman" w:hAnsi="Times New Roman" w:cs="Times New Roman"/>
          <w:i/>
          <w:sz w:val="24"/>
          <w:szCs w:val="24"/>
          <w:lang w:val="fr-FR"/>
        </w:rPr>
        <w:t xml:space="preserve"> Faculté de Droit et de Science Politique (</w:t>
      </w:r>
      <w:r>
        <w:rPr>
          <w:rFonts w:ascii="Times New Roman" w:hAnsi="Times New Roman" w:cs="Times New Roman"/>
          <w:i/>
          <w:sz w:val="24"/>
          <w:szCs w:val="24"/>
        </w:rPr>
        <w:t>FADESP</w:t>
      </w:r>
      <w:r>
        <w:rPr>
          <w:rFonts w:hint="default" w:ascii="Times New Roman" w:hAnsi="Times New Roman" w:cs="Times New Roman"/>
          <w:i/>
          <w:sz w:val="24"/>
          <w:szCs w:val="24"/>
          <w:lang w:val="fr-FR"/>
        </w:rPr>
        <w:t>), Université d’Abomey-Calavi (</w:t>
      </w:r>
      <w:r>
        <w:rPr>
          <w:rFonts w:ascii="Times New Roman" w:hAnsi="Times New Roman" w:cs="Times New Roman"/>
          <w:i/>
          <w:sz w:val="24"/>
          <w:szCs w:val="24"/>
        </w:rPr>
        <w:t>UAC</w:t>
      </w:r>
      <w:r>
        <w:rPr>
          <w:rFonts w:hint="default" w:ascii="Times New Roman" w:hAnsi="Times New Roman" w:cs="Times New Roman"/>
          <w:i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(Bénin)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left="36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  <w:t>Découpage du cours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  <w:t xml:space="preserve">Cours magistral 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  <w:t>Pédagogie interactive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  <w:t>Travaux personnels de l’étudiant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fr-FR"/>
        </w:rPr>
        <w:t>Exercices de mise en pratique du cours</w:t>
      </w:r>
    </w:p>
    <w:p>
      <w:pPr>
        <w:numPr>
          <w:ilvl w:val="0"/>
          <w:numId w:val="1"/>
        </w:numPr>
        <w:ind w:left="220" w:lef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  <w:t>Description du cours</w:t>
      </w:r>
    </w:p>
    <w:p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fr-FR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Objectifs du Cours</w:t>
      </w:r>
    </w:p>
    <w:p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Objectif général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fr-FR"/>
        </w:rPr>
        <w:t>ou visée générale du cours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1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aux apprenants les éléments théoriques de compréhension du Droit Administratif des Biens (DAB).</w:t>
      </w:r>
    </w:p>
    <w:p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Objectifs spécifiques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Définir les notions essentielles du cours ;</w:t>
      </w:r>
    </w:p>
    <w:p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Identifier les éléments constitutifs du domaine des personnes publiques ;</w:t>
      </w:r>
    </w:p>
    <w:p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Assimiler la procédure de passation, de gestion et de contrôle des marchés de travaux publics, ainsi que celle de l’ECUP </w:t>
      </w:r>
      <w:r>
        <w:rPr>
          <w:rFonts w:hint="default" w:ascii="Times New Roman" w:hAnsi="Times New Roman"/>
          <w:sz w:val="24"/>
          <w:szCs w:val="24"/>
          <w:lang w:val="fr-FR"/>
        </w:rPr>
        <w:t xml:space="preserve">et de la réquisition 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Assimiler les méthodes pour traiter les exercices juridiques en rapport avec le DAB.</w:t>
      </w: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fr-FR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Contenu du Cours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PREMIERE PARTIE</w:t>
      </w:r>
      <w:r>
        <w:rPr>
          <w:rFonts w:ascii="Times New Roman" w:hAnsi="Times New Roman" w:cs="Times New Roman"/>
          <w:b/>
          <w:sz w:val="24"/>
          <w:szCs w:val="24"/>
        </w:rPr>
        <w:t> : LES BIENS PUBLICS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</w:t>
      </w:r>
      <w:r>
        <w:rPr>
          <w:rFonts w:ascii="Times New Roman" w:hAnsi="Times New Roman" w:cs="Times New Roman"/>
          <w:sz w:val="24"/>
          <w:szCs w:val="24"/>
        </w:rPr>
        <w:t> : La domanialité publique</w:t>
      </w:r>
    </w:p>
    <w:p>
      <w:pPr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II</w:t>
      </w:r>
      <w:r>
        <w:rPr>
          <w:rFonts w:ascii="Times New Roman" w:hAnsi="Times New Roman" w:cs="Times New Roman"/>
          <w:sz w:val="24"/>
          <w:szCs w:val="24"/>
        </w:rPr>
        <w:t> : Les travaux publics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DEUXIEME PARTIE</w:t>
      </w:r>
      <w:r>
        <w:rPr>
          <w:rFonts w:ascii="Times New Roman" w:hAnsi="Times New Roman" w:cs="Times New Roman"/>
          <w:b/>
          <w:sz w:val="24"/>
          <w:szCs w:val="24"/>
        </w:rPr>
        <w:t> : LES MODES DE CESSION FORCEE DES BIENS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</w:t>
      </w:r>
      <w:r>
        <w:rPr>
          <w:rFonts w:ascii="Times New Roman" w:hAnsi="Times New Roman" w:cs="Times New Roman"/>
          <w:sz w:val="24"/>
          <w:szCs w:val="24"/>
        </w:rPr>
        <w:t> : L’expropriation pour cause d’utilité publique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II</w:t>
      </w:r>
      <w:r>
        <w:rPr>
          <w:rFonts w:ascii="Times New Roman" w:hAnsi="Times New Roman" w:cs="Times New Roman"/>
          <w:sz w:val="24"/>
          <w:szCs w:val="24"/>
        </w:rPr>
        <w:t> : La réquisition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22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  <w:t>Programme et calendrier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  <w:t>SÉANCES / DATES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  <w:t>CONTENUS / OBJECTIFS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  <w:t>ACTIVITÉS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fr-FR"/>
              </w:rPr>
              <w:t>TRAVAUX DE L’APPRENANT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  <w:t xml:space="preserve">Séance n° 1 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+ Prise de contact : exposé des règles de fonctionnement du cours (respect des horaires de cours, évitement de l’absentéisme, règles de pause, etc.).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+ Introduction du cours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- Exposé magistral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- Pédagogie interactive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 xml:space="preserve">-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  <w:t>Séance n° 2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Première partie du cours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+ Titre 1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Pédagogie interactive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Exercices de mise en pratique du cours (commentaire d’arrêts)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  <w:t xml:space="preserve">Séance n° 3 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Première partie du cours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+ Titre 2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Pédagogie interactive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Exercices de mise en pratique du cours (commentaire d’arrêts)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  <w:t>Séance n° 4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Deuxième partie du cours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+ Titre 1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Pédagogie interactive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Exercices de mise en pratique du cours (commentaire d’arrêts)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single"/>
                <w:vertAlign w:val="baseline"/>
                <w:lang w:val="fr-FR"/>
              </w:rPr>
              <w:t>Séance n° 5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Deuxième partie du cours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+ Titre 2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Pédagogie interactive</w:t>
            </w:r>
          </w:p>
        </w:tc>
        <w:tc>
          <w:tcPr>
            <w:tcW w:w="23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fr-FR"/>
              </w:rPr>
              <w:t>Exercices de mise en pratique du cours (sujets théoriques)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fr-FR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fr-FR"/>
        </w:rPr>
      </w:pPr>
    </w:p>
    <w:p>
      <w:pPr>
        <w:numPr>
          <w:ilvl w:val="0"/>
          <w:numId w:val="1"/>
        </w:numPr>
        <w:ind w:left="22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Matériel didactique détaillé</w:t>
      </w:r>
    </w:p>
    <w:p>
      <w:pPr>
        <w:pStyle w:val="1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 de polycopies ;</w:t>
      </w:r>
    </w:p>
    <w:p>
      <w:pPr>
        <w:pStyle w:val="1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Enseignement assisté par ordinateur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;</w:t>
      </w:r>
    </w:p>
    <w:p>
      <w:pPr>
        <w:pStyle w:val="1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ind w:left="22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Types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fr-FR"/>
        </w:rPr>
        <w:t xml:space="preserve">/Modalités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d’évaluation</w:t>
      </w:r>
    </w:p>
    <w:p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prédictive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(questions de compréhension).</w:t>
      </w:r>
    </w:p>
    <w:p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sommative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(examen de fin de semestre)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ind w:left="220" w:leftChars="0" w:firstLine="0" w:firstLineChars="0"/>
        <w:jc w:val="both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Bibliographie indicative</w:t>
      </w:r>
    </w:p>
    <w:p>
      <w:pPr>
        <w:pStyle w:val="1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Ouvrages</w:t>
      </w:r>
    </w:p>
    <w:p>
      <w:pPr>
        <w:pStyle w:val="11"/>
        <w:ind w:left="252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AKEREKORO (H.)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Les grands arrêts de la jurisprudence administrative béninoise</w:t>
      </w:r>
      <w:r>
        <w:rPr>
          <w:rFonts w:ascii="Times New Roman" w:hAnsi="Times New Roman" w:cs="Times New Roman"/>
          <w:sz w:val="24"/>
          <w:szCs w:val="24"/>
        </w:rPr>
        <w:t>, Abomey-Calavi, Les Editions de la Miséricorde, 2018.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AKEREKORO (H.)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biens. Nouvelles orientations béninoises</w:t>
      </w:r>
      <w:r>
        <w:rPr>
          <w:rFonts w:ascii="Times New Roman" w:hAnsi="Times New Roman" w:cs="Times New Roman"/>
          <w:sz w:val="24"/>
          <w:szCs w:val="24"/>
        </w:rPr>
        <w:t xml:space="preserve">, Abomey-Calavi, Les Editions de la Miséricorde,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édition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revue, augmentée et </w:t>
      </w:r>
      <w:r>
        <w:rPr>
          <w:rFonts w:ascii="Times New Roman" w:hAnsi="Times New Roman" w:cs="Times New Roman"/>
          <w:sz w:val="24"/>
          <w:szCs w:val="24"/>
        </w:rPr>
        <w:t>mise à jour, 20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AUBY (J.-M.), BON (P.), AUBY (J.-B.), TERNEYRE (Ph.)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Dalloz,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BOUSSARD (S.), LE BERRE (Ch.),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LGDJ,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2019.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CHAMARD-HEIM (C.) et </w:t>
      </w:r>
      <w:r>
        <w:rPr>
          <w:rFonts w:ascii="Times New Roman" w:hAnsi="Times New Roman" w:cs="Times New Roman"/>
          <w:b/>
          <w:i/>
          <w:sz w:val="24"/>
          <w:szCs w:val="24"/>
        </w:rPr>
        <w:t>alii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Les grandes décisions du droit administratif des biens</w:t>
      </w:r>
      <w:r>
        <w:rPr>
          <w:rFonts w:ascii="Times New Roman" w:hAnsi="Times New Roman" w:cs="Times New Roman"/>
          <w:sz w:val="24"/>
          <w:szCs w:val="24"/>
        </w:rPr>
        <w:t>, Paris, Dalloz,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FOULQUIER (N.),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Lexis Nexis,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2018.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MORAND-DEVILLER (J.)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LGDJ,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ROUX (Ch.),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Dalloz, Coll. « </w:t>
      </w:r>
      <w:r>
        <w:rPr>
          <w:rFonts w:ascii="Times New Roman" w:hAnsi="Times New Roman" w:cs="Times New Roman"/>
          <w:i/>
          <w:iCs/>
          <w:sz w:val="24"/>
          <w:szCs w:val="24"/>
        </w:rPr>
        <w:t>Mémentos</w:t>
      </w:r>
      <w:r>
        <w:rPr>
          <w:rFonts w:ascii="Times New Roman" w:hAnsi="Times New Roman" w:cs="Times New Roman"/>
          <w:sz w:val="24"/>
          <w:szCs w:val="24"/>
        </w:rPr>
        <w:t> »,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éd., 2019.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WEIDENFELD (K.)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Histoire du droit administratif. Du XIVè siècle à nos jours</w:t>
      </w:r>
      <w:r>
        <w:rPr>
          <w:rFonts w:ascii="Times New Roman" w:hAnsi="Times New Roman" w:cs="Times New Roman"/>
          <w:sz w:val="24"/>
          <w:szCs w:val="24"/>
        </w:rPr>
        <w:t>, Paris, Economica, « </w:t>
      </w:r>
      <w:r>
        <w:rPr>
          <w:rFonts w:ascii="Times New Roman" w:hAnsi="Times New Roman" w:cs="Times New Roman"/>
          <w:i/>
          <w:sz w:val="24"/>
          <w:szCs w:val="24"/>
        </w:rPr>
        <w:t>Corpus Histoire du droit</w:t>
      </w:r>
      <w:r>
        <w:rPr>
          <w:rFonts w:ascii="Times New Roman" w:hAnsi="Times New Roman" w:cs="Times New Roman"/>
          <w:sz w:val="24"/>
          <w:szCs w:val="24"/>
        </w:rPr>
        <w:t xml:space="preserve"> », 2010. 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YOLKA (Ph.)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sz w:val="24"/>
          <w:szCs w:val="24"/>
        </w:rPr>
        <w:t>Droit des biens publics</w:t>
      </w:r>
      <w:r>
        <w:rPr>
          <w:rFonts w:ascii="Times New Roman" w:hAnsi="Times New Roman" w:cs="Times New Roman"/>
          <w:sz w:val="24"/>
          <w:szCs w:val="24"/>
        </w:rPr>
        <w:t>, Paris, LGDJ, Coll. « </w:t>
      </w:r>
      <w:r>
        <w:rPr>
          <w:rFonts w:ascii="Times New Roman" w:hAnsi="Times New Roman" w:cs="Times New Roman"/>
          <w:i/>
          <w:sz w:val="24"/>
          <w:szCs w:val="24"/>
        </w:rPr>
        <w:t>Systèmes-Cours </w:t>
      </w:r>
      <w:r>
        <w:rPr>
          <w:rFonts w:ascii="Times New Roman" w:hAnsi="Times New Roman" w:cs="Times New Roman"/>
          <w:sz w:val="24"/>
          <w:szCs w:val="24"/>
        </w:rPr>
        <w:t xml:space="preserve">», 2018. </w:t>
      </w:r>
    </w:p>
    <w:p>
      <w:pPr>
        <w:pStyle w:val="11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Textes juridiques</w:t>
      </w:r>
    </w:p>
    <w:p>
      <w:pPr>
        <w:pStyle w:val="11"/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11"/>
        <w:numPr>
          <w:ilvl w:val="0"/>
          <w:numId w:val="10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Loi n° 90-32 du 11 décembre 1990 portant Constitution de la République du Bénin révisée par la Loi n° 2019-40 du 07 novembre 2019.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fr-FR"/>
        </w:rPr>
        <w:t>Loi n° 2020-37 du 03 février 2021 portant protection de la santé des personnes en République du Bénin.</w:t>
      </w:r>
    </w:p>
    <w:p>
      <w:pPr>
        <w:pStyle w:val="11"/>
        <w:numPr>
          <w:ilvl w:val="0"/>
          <w:numId w:val="10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Loi n° 2018-34 du 05 octobre 2018 modifiant et complétant la Loi n° 2001-09 du 21 juin 2002 portant exercice du droit de grève en République du Bénin. </w:t>
      </w:r>
    </w:p>
    <w:p>
      <w:pPr>
        <w:pStyle w:val="11"/>
        <w:numPr>
          <w:ilvl w:val="0"/>
          <w:numId w:val="10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Loi n° 2018-18 du 06 août 2018 sur les changements climatiques en République du Bénin. 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2020-26 du 29 septembre 2020 portant Code des marchés publics en République du Bénin.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Loi n° 2016-24 du 28 juin 2017 portant cadre juridique du partenariat public-privé en République du Bénin.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2013-01 du 14 août 2013 portant Code foncier et domanial en République du Bénin et ses décrets d’application, modifiée et complétée par la Loi n° 2017-15 du 10 août 2017.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2010-44 du 24 novembre 2010 portant gestion de l’eau en République du Bénin.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général de la propriété des personnes publiques (France).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l’expropriation pour cause d’utilité publique (France).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la défense nationale (France).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rFonts w:hint="default" w:ascii="Times New Roman" w:hAnsi="Times New Roman" w:cs="Times New Roman"/>
          <w:b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fr-FR"/>
        </w:rPr>
        <w:t>PLAN DETAILLE DU COURS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Histoire du droit administratif des biens.</w:t>
      </w:r>
    </w:p>
    <w:p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Définitions des concepts.</w:t>
      </w:r>
    </w:p>
    <w:p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du droit administratif des biens.</w:t>
      </w:r>
    </w:p>
    <w:p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Caractères du droit administratif des biens.</w:t>
      </w:r>
    </w:p>
    <w:p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Problématique.</w:t>
      </w:r>
    </w:p>
    <w:p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du cours.  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PREMIERE PARTIE</w:t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LES BIENS PUBLICS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I</w:t>
      </w:r>
      <w:r>
        <w:rPr>
          <w:rFonts w:ascii="Times New Roman" w:hAnsi="Times New Roman" w:cs="Times New Roman"/>
          <w:b/>
          <w:sz w:val="24"/>
          <w:szCs w:val="24"/>
        </w:rPr>
        <w:t> : LA DOMANIALITE PUBLIQUE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1</w:t>
      </w:r>
      <w:r>
        <w:rPr>
          <w:rFonts w:ascii="Times New Roman" w:hAnsi="Times New Roman" w:cs="Times New Roman"/>
          <w:b/>
          <w:sz w:val="24"/>
          <w:szCs w:val="24"/>
        </w:rPr>
        <w:t> : Le domaine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Définition, détermination et constitution du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Définition et détermination du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Constitution du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Délimitation, protection et utilisation du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Délimitation du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Protection et utilisation du domaine public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Le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Définition, détermination et constitution du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Définition et détermination du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Constitution du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Protection et utilisation du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 Protection du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Utilisation du domaine privé de l’Etat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2</w:t>
      </w:r>
      <w:r>
        <w:rPr>
          <w:rFonts w:ascii="Times New Roman" w:hAnsi="Times New Roman" w:cs="Times New Roman"/>
          <w:b/>
          <w:sz w:val="24"/>
          <w:szCs w:val="24"/>
        </w:rPr>
        <w:t> : Le domaine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Définition, détermination et constitution du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Définition et détermination du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Constitution du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Délimitation, protection et utilisation du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Délimitation du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Protection et utilisation du domaine public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Le domaine privé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La constitution du domaine privé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A-L’acquisition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B-La désaffectation ou le déclassement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gestion du domaine privé des collectivités territoriales décentralisées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 rôle du maire de la commune et des structures d’assistance du maire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 rôle de l’Agence Nationale du Domaine et du Foncier (ANDF)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II</w:t>
      </w:r>
      <w:r>
        <w:rPr>
          <w:rFonts w:ascii="Times New Roman" w:hAnsi="Times New Roman" w:cs="Times New Roman"/>
          <w:b/>
          <w:sz w:val="24"/>
          <w:szCs w:val="24"/>
        </w:rPr>
        <w:t> : LES TRAVAUX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Chapitre 1</w:t>
      </w:r>
      <w:r>
        <w:rPr>
          <w:rFonts w:ascii="Times New Roman" w:hAnsi="Times New Roman" w:cs="Times New Roman"/>
          <w:b/>
          <w:sz w:val="24"/>
          <w:szCs w:val="24"/>
        </w:rPr>
        <w:t> : Notion et modes de réalisation des travaux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La notion de travail public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 xml:space="preserve"> : La définition classique du travail public : arrêt sous Conseil d’Etat français </w:t>
      </w:r>
      <w:r>
        <w:rPr>
          <w:rFonts w:ascii="Times New Roman" w:hAnsi="Times New Roman" w:cs="Times New Roman"/>
          <w:i/>
          <w:sz w:val="24"/>
          <w:szCs w:val="24"/>
        </w:rPr>
        <w:t>Commune de Monségur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A-Un travail immobilier exécuté par une personne publique ou pour son compte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B-Un travail immobilier exécuté dans un but d’utilité générale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 xml:space="preserve"> : La définition nouvelle du travail public : arrêt sous Tribunal français des Conflits </w:t>
      </w:r>
      <w:r>
        <w:rPr>
          <w:rFonts w:ascii="Times New Roman" w:hAnsi="Times New Roman" w:cs="Times New Roman"/>
          <w:i/>
          <w:sz w:val="24"/>
          <w:szCs w:val="24"/>
        </w:rPr>
        <w:t>Effimieff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A-Un travail immobilier exécuté par une personne privée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B-Un travail immobilier exécuté en vue de l’accomplissement d’une mission de service public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 xml:space="preserve"> : Les modes de réalisation des travaux publics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La voie directe : la régie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forces de la régie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limites de la régie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voie contractuelle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concession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marchés de travaux publics et le Partenariat Public-Privé (PPP)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2</w:t>
      </w:r>
      <w:r>
        <w:rPr>
          <w:rFonts w:ascii="Times New Roman" w:hAnsi="Times New Roman" w:cs="Times New Roman"/>
          <w:b/>
          <w:sz w:val="24"/>
          <w:szCs w:val="24"/>
        </w:rPr>
        <w:t> : Le régime juridique des travaux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Les prérogatives des parties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 xml:space="preserve"> : Les prérogatives de l’Administration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droits et les obligations de l’Administration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pouvoirs de l’Administration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prérogatives du cocontractant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droits du cocontractant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obligations du cocontractant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0"/>
          <w:szCs w:val="20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Les dommages de travaux publics et la responsabilité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dommages de travaux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notion de dommages de travaux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caractères du dommage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responsabilité en matière de travaux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responsabilité pour faute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B-La responsabilité sans faute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DEUXIEME PARTIE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MODES DE CESSION FORCEE DES BIENS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I</w:t>
      </w:r>
      <w:r>
        <w:rPr>
          <w:rFonts w:ascii="Times New Roman" w:hAnsi="Times New Roman" w:cs="Times New Roman"/>
          <w:b/>
          <w:sz w:val="24"/>
          <w:szCs w:val="24"/>
        </w:rPr>
        <w:t> : L’EXPROPRIATION POUR CAUSE D’UTILITE PUBLIQUE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I</w:t>
      </w:r>
      <w:r>
        <w:rPr>
          <w:rFonts w:ascii="Times New Roman" w:hAnsi="Times New Roman" w:cs="Times New Roman"/>
          <w:b/>
          <w:sz w:val="24"/>
          <w:szCs w:val="24"/>
        </w:rPr>
        <w:t> : La finalité et les acteurs de l’expropriation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La finalité de l’expropriation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L’utilité générale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sources de l’utilité générale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 contenu de l’utilité générale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L’intérêt général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perception jurisprudentielle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constructions doctrinales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Les acteurs et les bénéficiaires de l’expropriation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acteurs de l’expropriation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personnes publiques expropriantes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expropriés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bénéficiaires de l’expropriation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 peuple, les personnes publiques et les citoyens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Organisations Internationales (OI)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II</w:t>
      </w:r>
      <w:r>
        <w:rPr>
          <w:rFonts w:ascii="Times New Roman" w:hAnsi="Times New Roman" w:cs="Times New Roman"/>
          <w:b/>
          <w:sz w:val="24"/>
          <w:szCs w:val="24"/>
        </w:rPr>
        <w:t> : La procédure d’expropriation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La phase administrative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La déclaration d’utilité publique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A-L’enquête préalable de </w:t>
      </w:r>
      <w:r>
        <w:rPr>
          <w:rFonts w:ascii="Times New Roman" w:hAnsi="Times New Roman" w:cs="Times New Roman"/>
          <w:i/>
          <w:sz w:val="24"/>
          <w:szCs w:val="24"/>
        </w:rPr>
        <w:t>commodo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i/>
          <w:sz w:val="24"/>
          <w:szCs w:val="24"/>
        </w:rPr>
        <w:t>incommodo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B-La prise de l’acte de déclaration d’utilité publique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 décret ou l’arrêté de cessibilité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A-L’identification des personnes expropriées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droits des personnes expropriées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b/>
          <w:sz w:val="24"/>
          <w:szCs w:val="24"/>
        </w:rPr>
        <w:t> : La phase juridictionnelle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compétences des juges constitutionnel et administratif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Les compétences du juge constitutionnel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Les compétences du juge administratif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 rôle du juge judiciaire ou la fixation de l’indemnité d’expropriation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fixation de l’indemnité d’expropriation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caractères de l’indemnité d’expropriation ou du dédommagement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II</w:t>
      </w:r>
      <w:r>
        <w:rPr>
          <w:rFonts w:ascii="Times New Roman" w:hAnsi="Times New Roman" w:cs="Times New Roman"/>
          <w:b/>
          <w:sz w:val="24"/>
          <w:szCs w:val="24"/>
        </w:rPr>
        <w:t> : LA REQUISITION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1</w:t>
      </w:r>
      <w:r>
        <w:rPr>
          <w:rFonts w:ascii="Times New Roman" w:hAnsi="Times New Roman" w:cs="Times New Roman"/>
          <w:b/>
          <w:sz w:val="24"/>
          <w:szCs w:val="24"/>
        </w:rPr>
        <w:t> : Notion et diversité des réquisitions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La notion de réquisition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La réquisition : un ordre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A-Un ordre de l’autorité publique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B-Un ordre en vue de la mise à disposition de biens meubles et/ou immeubles ou de personnes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réquisition opposée à l’expropriation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éléments de convergence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points de divergence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Typologie des réquisitions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réquisitions anciennes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réquisitions militaires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B-L’objet des réquisitions militaires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réquisitions modernes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réquisitions civiles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raisons des réquisitions civiles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2</w:t>
      </w:r>
      <w:r>
        <w:rPr>
          <w:rFonts w:ascii="Times New Roman" w:hAnsi="Times New Roman" w:cs="Times New Roman"/>
          <w:b/>
          <w:sz w:val="24"/>
          <w:szCs w:val="24"/>
        </w:rPr>
        <w:t> : Conditions et effets des réquisitions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Les conditions des réquisitions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règles classiques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A-L’exigence d’un service minimum obligatoire en cas de grève de certains agents publics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B-Le recours à la réquisition en cas de grève sans service minimum obligatoire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 xml:space="preserve"> : Le formalisme de la réquisition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A-Un formalisme exigeant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B-Un formalisme obligeant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Les effets des réquisitions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effets pour l’Administration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A-L’emploi des biens ou des personnes réquisitionnées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B-L’idemnisation postérieure des personnes réquisitionnées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effets à l’égard des réquisitionnés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dépossession de biens ou la mise à la disposition de l’Administration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 bénéfice de l’indemnisation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44251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40940"/>
    <w:multiLevelType w:val="singleLevel"/>
    <w:tmpl w:val="EE14094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DC831AE"/>
    <w:multiLevelType w:val="multilevel"/>
    <w:tmpl w:val="1DC831AE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817CFB"/>
    <w:multiLevelType w:val="multilevel"/>
    <w:tmpl w:val="25817CF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8A24B29"/>
    <w:multiLevelType w:val="multilevel"/>
    <w:tmpl w:val="38A24B29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1A04DBB"/>
    <w:multiLevelType w:val="multilevel"/>
    <w:tmpl w:val="41A04DBB"/>
    <w:lvl w:ilvl="0" w:tentative="0">
      <w:start w:val="2"/>
      <w:numFmt w:val="upperRoman"/>
      <w:lvlText w:val="%1-"/>
      <w:lvlJc w:val="left"/>
      <w:pPr>
        <w:ind w:left="216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AF052BD"/>
    <w:multiLevelType w:val="singleLevel"/>
    <w:tmpl w:val="4AF052BD"/>
    <w:lvl w:ilvl="0" w:tentative="0">
      <w:start w:val="1"/>
      <w:numFmt w:val="decimal"/>
      <w:suff w:val="space"/>
      <w:lvlText w:val="%1-"/>
      <w:lvlJc w:val="left"/>
      <w:pPr>
        <w:ind w:left="-140"/>
      </w:pPr>
      <w:rPr>
        <w:rFonts w:hint="default" w:ascii="Times New Roman" w:hAnsi="Times New Roman" w:cs="Times New Roman"/>
        <w:b/>
        <w:bCs/>
        <w:sz w:val="24"/>
        <w:szCs w:val="24"/>
      </w:rPr>
    </w:lvl>
  </w:abstractNum>
  <w:abstractNum w:abstractNumId="6">
    <w:nsid w:val="5C284763"/>
    <w:multiLevelType w:val="multilevel"/>
    <w:tmpl w:val="5C284763"/>
    <w:lvl w:ilvl="0" w:tentative="0">
      <w:start w:val="1"/>
      <w:numFmt w:val="upperRoman"/>
      <w:lvlText w:val="%1-"/>
      <w:lvlJc w:val="left"/>
      <w:pPr>
        <w:ind w:left="25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9B04640"/>
    <w:multiLevelType w:val="multilevel"/>
    <w:tmpl w:val="69B04640"/>
    <w:lvl w:ilvl="0" w:tentative="0">
      <w:start w:val="0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B223908"/>
    <w:multiLevelType w:val="multilevel"/>
    <w:tmpl w:val="6B223908"/>
    <w:lvl w:ilvl="0" w:tentative="0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  <w:color w:val="auto"/>
        <w:sz w:val="2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BEE6923"/>
    <w:multiLevelType w:val="multilevel"/>
    <w:tmpl w:val="6BEE6923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6DD6729B"/>
    <w:multiLevelType w:val="multilevel"/>
    <w:tmpl w:val="6DD6729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38A2"/>
    <w:rsid w:val="000041E8"/>
    <w:rsid w:val="00004D66"/>
    <w:rsid w:val="000C44BE"/>
    <w:rsid w:val="000C79AA"/>
    <w:rsid w:val="000D256B"/>
    <w:rsid w:val="0013123E"/>
    <w:rsid w:val="00134A7F"/>
    <w:rsid w:val="00137A48"/>
    <w:rsid w:val="00155434"/>
    <w:rsid w:val="001E3115"/>
    <w:rsid w:val="0020373F"/>
    <w:rsid w:val="00247037"/>
    <w:rsid w:val="00254410"/>
    <w:rsid w:val="0026732D"/>
    <w:rsid w:val="00271BD7"/>
    <w:rsid w:val="002A09E5"/>
    <w:rsid w:val="0031163A"/>
    <w:rsid w:val="00326F5F"/>
    <w:rsid w:val="00341329"/>
    <w:rsid w:val="003A1216"/>
    <w:rsid w:val="003A51CD"/>
    <w:rsid w:val="0042651F"/>
    <w:rsid w:val="00452AA3"/>
    <w:rsid w:val="004733A1"/>
    <w:rsid w:val="004C2B1B"/>
    <w:rsid w:val="004F7ED5"/>
    <w:rsid w:val="00516F40"/>
    <w:rsid w:val="00563A5F"/>
    <w:rsid w:val="005C5F95"/>
    <w:rsid w:val="005E0829"/>
    <w:rsid w:val="005F1648"/>
    <w:rsid w:val="005F3B1B"/>
    <w:rsid w:val="006051C9"/>
    <w:rsid w:val="00625595"/>
    <w:rsid w:val="00653223"/>
    <w:rsid w:val="00672C06"/>
    <w:rsid w:val="006B2638"/>
    <w:rsid w:val="006C3DA8"/>
    <w:rsid w:val="006D1CEF"/>
    <w:rsid w:val="006E5508"/>
    <w:rsid w:val="0072032C"/>
    <w:rsid w:val="00734E06"/>
    <w:rsid w:val="007B522D"/>
    <w:rsid w:val="007D7347"/>
    <w:rsid w:val="008529CB"/>
    <w:rsid w:val="0087043B"/>
    <w:rsid w:val="008F2A98"/>
    <w:rsid w:val="009079D9"/>
    <w:rsid w:val="00911043"/>
    <w:rsid w:val="00922D7B"/>
    <w:rsid w:val="0095079A"/>
    <w:rsid w:val="0095371C"/>
    <w:rsid w:val="009546AE"/>
    <w:rsid w:val="00967521"/>
    <w:rsid w:val="00976A99"/>
    <w:rsid w:val="009A0478"/>
    <w:rsid w:val="009B43AB"/>
    <w:rsid w:val="009F5899"/>
    <w:rsid w:val="00A12AB0"/>
    <w:rsid w:val="00A36EC5"/>
    <w:rsid w:val="00A42E89"/>
    <w:rsid w:val="00A835B2"/>
    <w:rsid w:val="00A868AE"/>
    <w:rsid w:val="00AF14FE"/>
    <w:rsid w:val="00B24341"/>
    <w:rsid w:val="00B46EC6"/>
    <w:rsid w:val="00B517D1"/>
    <w:rsid w:val="00B625F4"/>
    <w:rsid w:val="00B90277"/>
    <w:rsid w:val="00B92585"/>
    <w:rsid w:val="00BB2B3E"/>
    <w:rsid w:val="00BD50AA"/>
    <w:rsid w:val="00C06016"/>
    <w:rsid w:val="00C35D13"/>
    <w:rsid w:val="00C421DB"/>
    <w:rsid w:val="00C47B8C"/>
    <w:rsid w:val="00C77B57"/>
    <w:rsid w:val="00C8170C"/>
    <w:rsid w:val="00D1311E"/>
    <w:rsid w:val="00D40F80"/>
    <w:rsid w:val="00D448A4"/>
    <w:rsid w:val="00D53626"/>
    <w:rsid w:val="00D60077"/>
    <w:rsid w:val="00D60EB2"/>
    <w:rsid w:val="00E157EC"/>
    <w:rsid w:val="00E41B1C"/>
    <w:rsid w:val="00E639B7"/>
    <w:rsid w:val="00E64F87"/>
    <w:rsid w:val="00E71AA9"/>
    <w:rsid w:val="00E85462"/>
    <w:rsid w:val="00E968FC"/>
    <w:rsid w:val="00EE7C9C"/>
    <w:rsid w:val="00F2442A"/>
    <w:rsid w:val="00F638A2"/>
    <w:rsid w:val="00F7015A"/>
    <w:rsid w:val="00F779C9"/>
    <w:rsid w:val="00FC6D17"/>
    <w:rsid w:val="00FC7D1E"/>
    <w:rsid w:val="00FF16DC"/>
    <w:rsid w:val="011A0495"/>
    <w:rsid w:val="02053DFE"/>
    <w:rsid w:val="02373161"/>
    <w:rsid w:val="02801015"/>
    <w:rsid w:val="02CC1DB2"/>
    <w:rsid w:val="04340B5D"/>
    <w:rsid w:val="046F180D"/>
    <w:rsid w:val="04755B38"/>
    <w:rsid w:val="04936162"/>
    <w:rsid w:val="04E9463A"/>
    <w:rsid w:val="05174B81"/>
    <w:rsid w:val="056B76E7"/>
    <w:rsid w:val="05E33C4F"/>
    <w:rsid w:val="06CD54F8"/>
    <w:rsid w:val="07911FB8"/>
    <w:rsid w:val="07E77369"/>
    <w:rsid w:val="084D58D4"/>
    <w:rsid w:val="09922CDE"/>
    <w:rsid w:val="099F08E2"/>
    <w:rsid w:val="0A280310"/>
    <w:rsid w:val="0AD42B79"/>
    <w:rsid w:val="0B014BB4"/>
    <w:rsid w:val="0B1E698B"/>
    <w:rsid w:val="0BC35D81"/>
    <w:rsid w:val="0BED755E"/>
    <w:rsid w:val="0C1819E7"/>
    <w:rsid w:val="0E4601FB"/>
    <w:rsid w:val="0F27135C"/>
    <w:rsid w:val="0FAC589B"/>
    <w:rsid w:val="103700AB"/>
    <w:rsid w:val="10424FF9"/>
    <w:rsid w:val="10E6687F"/>
    <w:rsid w:val="11707EE6"/>
    <w:rsid w:val="127C1058"/>
    <w:rsid w:val="127E7BE3"/>
    <w:rsid w:val="12B2003D"/>
    <w:rsid w:val="12BA72A4"/>
    <w:rsid w:val="13510D83"/>
    <w:rsid w:val="135617AC"/>
    <w:rsid w:val="13BF374D"/>
    <w:rsid w:val="13E0271E"/>
    <w:rsid w:val="14AC0487"/>
    <w:rsid w:val="14B179D1"/>
    <w:rsid w:val="14C52E9C"/>
    <w:rsid w:val="15491283"/>
    <w:rsid w:val="157C0953"/>
    <w:rsid w:val="15E81DDE"/>
    <w:rsid w:val="16191B4A"/>
    <w:rsid w:val="164E6578"/>
    <w:rsid w:val="16794220"/>
    <w:rsid w:val="167E4B97"/>
    <w:rsid w:val="16826481"/>
    <w:rsid w:val="16C40864"/>
    <w:rsid w:val="177354C9"/>
    <w:rsid w:val="17FB7675"/>
    <w:rsid w:val="1843589A"/>
    <w:rsid w:val="1A062C2E"/>
    <w:rsid w:val="1BEF17EC"/>
    <w:rsid w:val="1CBA6C0A"/>
    <w:rsid w:val="1CC56B9B"/>
    <w:rsid w:val="1D330752"/>
    <w:rsid w:val="1E2B5DC6"/>
    <w:rsid w:val="1EBB09E0"/>
    <w:rsid w:val="1F8E7B26"/>
    <w:rsid w:val="20806CA3"/>
    <w:rsid w:val="20F27AB7"/>
    <w:rsid w:val="21155990"/>
    <w:rsid w:val="214C6F3E"/>
    <w:rsid w:val="216336CA"/>
    <w:rsid w:val="21795F12"/>
    <w:rsid w:val="21BF061D"/>
    <w:rsid w:val="22405418"/>
    <w:rsid w:val="232430FB"/>
    <w:rsid w:val="2334692B"/>
    <w:rsid w:val="234A3E69"/>
    <w:rsid w:val="235760E3"/>
    <w:rsid w:val="24727CFE"/>
    <w:rsid w:val="250358D9"/>
    <w:rsid w:val="25E30AC1"/>
    <w:rsid w:val="26255A60"/>
    <w:rsid w:val="27454608"/>
    <w:rsid w:val="27CE221B"/>
    <w:rsid w:val="2813027F"/>
    <w:rsid w:val="28C572A1"/>
    <w:rsid w:val="2AA70BA9"/>
    <w:rsid w:val="2B285CDD"/>
    <w:rsid w:val="2BBA23CF"/>
    <w:rsid w:val="2BBA7685"/>
    <w:rsid w:val="2BEE7855"/>
    <w:rsid w:val="2CDC26B9"/>
    <w:rsid w:val="2CFE54E3"/>
    <w:rsid w:val="2D8B3595"/>
    <w:rsid w:val="2F9352F4"/>
    <w:rsid w:val="31714E41"/>
    <w:rsid w:val="31C86A04"/>
    <w:rsid w:val="31FF7229"/>
    <w:rsid w:val="3307230D"/>
    <w:rsid w:val="33390718"/>
    <w:rsid w:val="33765F40"/>
    <w:rsid w:val="33775D91"/>
    <w:rsid w:val="34AF5903"/>
    <w:rsid w:val="35A748ED"/>
    <w:rsid w:val="36263E10"/>
    <w:rsid w:val="37010D72"/>
    <w:rsid w:val="37D274FE"/>
    <w:rsid w:val="37D30F86"/>
    <w:rsid w:val="37DE340C"/>
    <w:rsid w:val="38955483"/>
    <w:rsid w:val="38D40575"/>
    <w:rsid w:val="38DC101A"/>
    <w:rsid w:val="39066101"/>
    <w:rsid w:val="391D6AEC"/>
    <w:rsid w:val="39572E78"/>
    <w:rsid w:val="3A16447A"/>
    <w:rsid w:val="3A412C36"/>
    <w:rsid w:val="3AB542C1"/>
    <w:rsid w:val="3B8871BB"/>
    <w:rsid w:val="3B8D1426"/>
    <w:rsid w:val="3BA862E3"/>
    <w:rsid w:val="3BC0678F"/>
    <w:rsid w:val="3BF41FB0"/>
    <w:rsid w:val="3C25431C"/>
    <w:rsid w:val="3C2A3ACC"/>
    <w:rsid w:val="3C333D24"/>
    <w:rsid w:val="3C3C76AF"/>
    <w:rsid w:val="3CF775CC"/>
    <w:rsid w:val="3DC953B9"/>
    <w:rsid w:val="3DE352CD"/>
    <w:rsid w:val="3FE668F2"/>
    <w:rsid w:val="3FFA67A8"/>
    <w:rsid w:val="40377597"/>
    <w:rsid w:val="40747BC3"/>
    <w:rsid w:val="40846FD0"/>
    <w:rsid w:val="41F54534"/>
    <w:rsid w:val="429566BD"/>
    <w:rsid w:val="444063B8"/>
    <w:rsid w:val="447C315F"/>
    <w:rsid w:val="457435A9"/>
    <w:rsid w:val="45954A9E"/>
    <w:rsid w:val="461C34E3"/>
    <w:rsid w:val="465C0F35"/>
    <w:rsid w:val="46F376D3"/>
    <w:rsid w:val="472F2EC1"/>
    <w:rsid w:val="47436CDB"/>
    <w:rsid w:val="47BD485A"/>
    <w:rsid w:val="47F06144"/>
    <w:rsid w:val="483B77D5"/>
    <w:rsid w:val="491C14C0"/>
    <w:rsid w:val="49322B9D"/>
    <w:rsid w:val="4AB6430D"/>
    <w:rsid w:val="4ACD5349"/>
    <w:rsid w:val="4B40330C"/>
    <w:rsid w:val="4C5E2430"/>
    <w:rsid w:val="4CA72F2D"/>
    <w:rsid w:val="4CD54B5B"/>
    <w:rsid w:val="4DBD1007"/>
    <w:rsid w:val="4E1701A3"/>
    <w:rsid w:val="4F2E7CC5"/>
    <w:rsid w:val="4F4C6845"/>
    <w:rsid w:val="4FDE48AF"/>
    <w:rsid w:val="512B36CD"/>
    <w:rsid w:val="52294CAD"/>
    <w:rsid w:val="52651354"/>
    <w:rsid w:val="530B55A2"/>
    <w:rsid w:val="546A1E93"/>
    <w:rsid w:val="54AB599A"/>
    <w:rsid w:val="54DB28F4"/>
    <w:rsid w:val="552C63EA"/>
    <w:rsid w:val="55DE559D"/>
    <w:rsid w:val="563F54AF"/>
    <w:rsid w:val="566F536B"/>
    <w:rsid w:val="56D52F18"/>
    <w:rsid w:val="570C25DE"/>
    <w:rsid w:val="5750615C"/>
    <w:rsid w:val="57A634AE"/>
    <w:rsid w:val="587716DD"/>
    <w:rsid w:val="5883149F"/>
    <w:rsid w:val="588F0C50"/>
    <w:rsid w:val="590C5BA4"/>
    <w:rsid w:val="59254B12"/>
    <w:rsid w:val="59343B6F"/>
    <w:rsid w:val="59DA6838"/>
    <w:rsid w:val="5A4F5F25"/>
    <w:rsid w:val="5A7A4B16"/>
    <w:rsid w:val="5AF433A9"/>
    <w:rsid w:val="5B4702F8"/>
    <w:rsid w:val="5B496509"/>
    <w:rsid w:val="5C347608"/>
    <w:rsid w:val="5C6A5B57"/>
    <w:rsid w:val="5C9A6BFF"/>
    <w:rsid w:val="5CE20BD4"/>
    <w:rsid w:val="5D3207C0"/>
    <w:rsid w:val="5D663316"/>
    <w:rsid w:val="5D837378"/>
    <w:rsid w:val="5D8C29AA"/>
    <w:rsid w:val="5DAC049A"/>
    <w:rsid w:val="5DC8350A"/>
    <w:rsid w:val="5E0B0821"/>
    <w:rsid w:val="5E7A39D6"/>
    <w:rsid w:val="5EEF369F"/>
    <w:rsid w:val="5F240E7A"/>
    <w:rsid w:val="5F981233"/>
    <w:rsid w:val="5FEF3778"/>
    <w:rsid w:val="604662B8"/>
    <w:rsid w:val="61574B3D"/>
    <w:rsid w:val="6178243D"/>
    <w:rsid w:val="61D5050A"/>
    <w:rsid w:val="621A1909"/>
    <w:rsid w:val="62391072"/>
    <w:rsid w:val="635F6520"/>
    <w:rsid w:val="64383C41"/>
    <w:rsid w:val="64397DD5"/>
    <w:rsid w:val="647B38F8"/>
    <w:rsid w:val="65484D26"/>
    <w:rsid w:val="654A4131"/>
    <w:rsid w:val="65992541"/>
    <w:rsid w:val="65EA6424"/>
    <w:rsid w:val="664C2E17"/>
    <w:rsid w:val="66F26606"/>
    <w:rsid w:val="679A5176"/>
    <w:rsid w:val="68050391"/>
    <w:rsid w:val="680C047F"/>
    <w:rsid w:val="691443A2"/>
    <w:rsid w:val="69485919"/>
    <w:rsid w:val="694B337A"/>
    <w:rsid w:val="69530BA4"/>
    <w:rsid w:val="69792816"/>
    <w:rsid w:val="6984589E"/>
    <w:rsid w:val="6A463DA5"/>
    <w:rsid w:val="6AA7370B"/>
    <w:rsid w:val="6AC51A1D"/>
    <w:rsid w:val="6B2172F7"/>
    <w:rsid w:val="6BAA2A4D"/>
    <w:rsid w:val="6BD76BC3"/>
    <w:rsid w:val="6C2349DE"/>
    <w:rsid w:val="6D0633D8"/>
    <w:rsid w:val="6D814702"/>
    <w:rsid w:val="6E2B639C"/>
    <w:rsid w:val="6EEE5C19"/>
    <w:rsid w:val="6EF80165"/>
    <w:rsid w:val="6F6D6340"/>
    <w:rsid w:val="6FA60252"/>
    <w:rsid w:val="6FA81D6D"/>
    <w:rsid w:val="707C22F1"/>
    <w:rsid w:val="71B70F78"/>
    <w:rsid w:val="71E03C83"/>
    <w:rsid w:val="727A68F5"/>
    <w:rsid w:val="727C13D4"/>
    <w:rsid w:val="72AB3AAC"/>
    <w:rsid w:val="73A74A2E"/>
    <w:rsid w:val="74E964D7"/>
    <w:rsid w:val="759922B7"/>
    <w:rsid w:val="76751E43"/>
    <w:rsid w:val="778A7F1C"/>
    <w:rsid w:val="77CF1A09"/>
    <w:rsid w:val="7837596A"/>
    <w:rsid w:val="797848F2"/>
    <w:rsid w:val="798F13B7"/>
    <w:rsid w:val="7A7C02D6"/>
    <w:rsid w:val="7B6B4523"/>
    <w:rsid w:val="7B850D2C"/>
    <w:rsid w:val="7BA375C6"/>
    <w:rsid w:val="7C8C5E29"/>
    <w:rsid w:val="7D6748DB"/>
    <w:rsid w:val="7D696F7C"/>
    <w:rsid w:val="7DB03B73"/>
    <w:rsid w:val="7E8F6728"/>
    <w:rsid w:val="7F2F7F84"/>
    <w:rsid w:val="7F662429"/>
    <w:rsid w:val="7F6B7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0"/>
    <w:rPr>
      <w:color w:val="0000FF"/>
      <w:u w:val="single"/>
    </w:rPr>
  </w:style>
  <w:style w:type="character" w:styleId="4">
    <w:name w:val="footnote reference"/>
    <w:basedOn w:val="2"/>
    <w:semiHidden/>
    <w:unhideWhenUsed/>
    <w:qFormat/>
    <w:uiPriority w:val="0"/>
    <w:rPr>
      <w:vertAlign w:val="superscript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note text"/>
    <w:basedOn w:val="1"/>
    <w:link w:val="15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-tête Car"/>
    <w:basedOn w:val="2"/>
    <w:link w:val="9"/>
    <w:uiPriority w:val="99"/>
    <w:rPr>
      <w:rFonts w:eastAsiaTheme="minorEastAsia"/>
      <w:lang w:eastAsia="fr-FR"/>
    </w:rPr>
  </w:style>
  <w:style w:type="character" w:customStyle="1" w:styleId="13">
    <w:name w:val="Pied de page Car"/>
    <w:basedOn w:val="2"/>
    <w:link w:val="8"/>
    <w:qFormat/>
    <w:uiPriority w:val="99"/>
    <w:rPr>
      <w:rFonts w:eastAsiaTheme="minorEastAsia"/>
      <w:lang w:eastAsia="fr-FR"/>
    </w:rPr>
  </w:style>
  <w:style w:type="character" w:customStyle="1" w:styleId="14">
    <w:name w:val="Note de bas de page Car"/>
    <w:basedOn w:val="2"/>
    <w:link w:val="6"/>
    <w:semiHidden/>
    <w:qFormat/>
    <w:locked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Note de bas de page Car1"/>
    <w:basedOn w:val="2"/>
    <w:link w:val="6"/>
    <w:semiHidden/>
    <w:qFormat/>
    <w:uiPriority w:val="99"/>
    <w:rPr>
      <w:rFonts w:eastAsiaTheme="minorEastAsia"/>
      <w:sz w:val="20"/>
      <w:szCs w:val="20"/>
      <w:lang w:eastAsia="fr-FR"/>
    </w:rPr>
  </w:style>
  <w:style w:type="character" w:customStyle="1" w:styleId="16">
    <w:name w:val="mw-headlin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1571</Words>
  <Characters>8642</Characters>
  <Lines>72</Lines>
  <Paragraphs>20</Paragraphs>
  <TotalTime>2</TotalTime>
  <ScaleCrop>false</ScaleCrop>
  <LinksUpToDate>false</LinksUpToDate>
  <CharactersWithSpaces>10193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2019-10-28T14:24:00Z</dcterms:created>
  <dc:creator>Hilaire AKEREKORO</dc:creator>
  <cp:lastModifiedBy>HP</cp:lastModifiedBy>
  <dcterms:modified xsi:type="dcterms:W3CDTF">2021-12-21T17:14:23Z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1036-11.2.0.10382</vt:lpwstr>
  </property>
  <property fmtid="{D5CDD505-2E9C-101B-9397-08002B2CF9AE}" pid="3" name="ICV">
    <vt:lpwstr>622D7AA996C6476DACE5ADF1F590A273</vt:lpwstr>
  </property>
</Properties>
</file>