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REPUBLIQUE DU BENIN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UNIVERSITE D’ABOMEY-CALAVI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FACULTE DE DROIT ET DE SCIENCE POLITIQUE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DEPARTEMENT DROIT PUBLIC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DROIT DES COLLECTIVITES TERRITORIALES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Chargé du Cours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Hilaire </w:t>
      </w:r>
      <w:r>
        <w:rPr>
          <w:rFonts w:ascii="Times New Roman" w:hAnsi="Times New Roman" w:cs="Times New Roman"/>
          <w:b/>
        </w:rPr>
        <w:t>AKEREKORO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Maître de conférences.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Agrégé de droit public (CAMES).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Directeur du CeDEP.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Enseignant-Chercheur.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20"/>
          <w:szCs w:val="20"/>
        </w:rPr>
        <w:t>Université d’Abomey-Calavi (Bénin)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PLAN DU COURS</w:t>
      </w:r>
    </w:p>
    <w:p/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Filière, enseignant, apprenants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Filière</w:t>
      </w:r>
      <w:r>
        <w:rPr>
          <w:rFonts w:ascii="Times New Roman" w:hAnsi="Times New Roman" w:cs="Times New Roman"/>
          <w:sz w:val="24"/>
          <w:szCs w:val="24"/>
        </w:rPr>
        <w:t> : Sciences juridiques et politiques.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Enseignant</w:t>
      </w:r>
      <w:r>
        <w:rPr>
          <w:rFonts w:ascii="Times New Roman" w:hAnsi="Times New Roman" w:cs="Times New Roman"/>
          <w:sz w:val="24"/>
          <w:szCs w:val="24"/>
        </w:rPr>
        <w:t xml:space="preserve"> : Hilaire </w:t>
      </w:r>
      <w:r>
        <w:rPr>
          <w:rFonts w:ascii="Times New Roman" w:hAnsi="Times New Roman" w:cs="Times New Roman"/>
          <w:b/>
          <w:sz w:val="24"/>
          <w:szCs w:val="24"/>
        </w:rPr>
        <w:t>AKEREKORO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Maître de conférences, Agrégé de droit public, Enseignant-Chercheur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Apprenants</w:t>
      </w:r>
      <w:r>
        <w:rPr>
          <w:rFonts w:ascii="Times New Roman" w:hAnsi="Times New Roman" w:cs="Times New Roman"/>
          <w:sz w:val="24"/>
          <w:szCs w:val="24"/>
        </w:rPr>
        <w:t> : Master 1 droit public.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du Cours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 des collectivités territoriales.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Objectifs du Cours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Objectif général</w:t>
      </w:r>
      <w:r>
        <w:rPr>
          <w:rFonts w:ascii="Times New Roman" w:hAnsi="Times New Roman" w:cs="Times New Roman"/>
          <w:sz w:val="24"/>
          <w:szCs w:val="24"/>
        </w:rPr>
        <w:t> : Permettre aux apprenants de comprendre les règles qui gouvernent les collectivités territoriales.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Objectifs spécifiques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aux apprenants des précisions sur les collectivités locales en les distinguant des collectivités territoriales 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Amener les apprenants à être capables de définir les notions fondamentales du cours, notamment le principe de la libre administration des collectivités territoriales, les compétences locales, etc. ; d’assimiler les règles et les principes essentiels du régime électoral des autorités locales et </w:t>
      </w:r>
      <w:r>
        <w:rPr>
          <w:rFonts w:ascii="Times New Roman" w:hAnsi="Times New Roman" w:cs="Times New Roman"/>
          <w:i/>
          <w:sz w:val="24"/>
          <w:szCs w:val="24"/>
        </w:rPr>
        <w:t>infra</w:t>
      </w:r>
      <w:r>
        <w:rPr>
          <w:rFonts w:ascii="Times New Roman" w:hAnsi="Times New Roman" w:cs="Times New Roman"/>
          <w:sz w:val="24"/>
          <w:szCs w:val="24"/>
        </w:rPr>
        <w:t xml:space="preserve"> communales ;</w:t>
      </w:r>
    </w:p>
    <w:p>
      <w:pPr>
        <w:pStyle w:val="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Familiariser les apprenants avec les règles de contrôles administratif et juridictionnel des actes des autorités locales.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Matériel didactique détaillé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 de polycopies ;</w:t>
      </w:r>
    </w:p>
    <w:p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Enseignement assisté par ordinateur.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Types d’évaluation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pStyle w:val="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prédictive et sommative.</w:t>
      </w: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Bibliographie indicative</w:t>
      </w:r>
    </w:p>
    <w:p>
      <w:pPr>
        <w:pStyle w:val="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Ouvrages</w:t>
      </w:r>
    </w:p>
    <w:p>
      <w:pPr>
        <w:pStyle w:val="6"/>
        <w:ind w:left="252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Ouvrages généraux</w:t>
      </w:r>
    </w:p>
    <w:p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CHAPUS (R.), </w:t>
      </w:r>
      <w:r>
        <w:rPr>
          <w:rFonts w:ascii="Times New Roman" w:hAnsi="Times New Roman" w:cs="Times New Roman"/>
          <w:i/>
          <w:sz w:val="24"/>
          <w:szCs w:val="24"/>
        </w:rPr>
        <w:t>Droit administratif général (Tome I)</w:t>
      </w:r>
      <w:r>
        <w:rPr>
          <w:rFonts w:ascii="Times New Roman" w:hAnsi="Times New Roman" w:cs="Times New Roman"/>
          <w:sz w:val="24"/>
          <w:szCs w:val="24"/>
        </w:rPr>
        <w:t>, Paris, Montchrestien,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Domat Droit Public, 2001.</w:t>
      </w:r>
    </w:p>
    <w:p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GAUDEMET (Y.), </w:t>
      </w:r>
      <w:r>
        <w:rPr>
          <w:rFonts w:ascii="Times New Roman" w:hAnsi="Times New Roman" w:cs="Times New Roman"/>
          <w:i/>
          <w:sz w:val="24"/>
          <w:szCs w:val="24"/>
        </w:rPr>
        <w:t>Droit administratif</w:t>
      </w:r>
      <w:r>
        <w:rPr>
          <w:rFonts w:ascii="Times New Roman" w:hAnsi="Times New Roman" w:cs="Times New Roman"/>
          <w:sz w:val="24"/>
          <w:szCs w:val="24"/>
        </w:rPr>
        <w:t>, Paris, LGDJ,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2012.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Ouvrages spécialisés</w:t>
      </w:r>
    </w:p>
    <w:p>
      <w:pPr>
        <w:pStyle w:val="6"/>
        <w:ind w:left="288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AKEREKORO (H.), 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Droit </w:t>
      </w:r>
      <w:r>
        <w:rPr>
          <w:rFonts w:hint="default" w:ascii="Times New Roman" w:hAnsi="Times New Roman" w:cs="Times New Roman"/>
          <w:i/>
          <w:sz w:val="24"/>
          <w:szCs w:val="24"/>
          <w:lang w:val="fr-FR"/>
        </w:rPr>
        <w:t xml:space="preserve">et finance </w:t>
      </w:r>
      <w:r>
        <w:rPr>
          <w:rFonts w:hint="default" w:ascii="Times New Roman" w:hAnsi="Times New Roman" w:cs="Times New Roman"/>
          <w:i/>
          <w:sz w:val="24"/>
          <w:szCs w:val="24"/>
        </w:rPr>
        <w:t>des collectivités territoriales</w:t>
      </w:r>
      <w:r>
        <w:rPr>
          <w:rFonts w:hint="default" w:ascii="Times New Roman" w:hAnsi="Times New Roman" w:cs="Times New Roman"/>
          <w:i/>
          <w:sz w:val="24"/>
          <w:szCs w:val="24"/>
          <w:lang w:val="fr-FR"/>
        </w:rPr>
        <w:t xml:space="preserve"> décentralisées</w:t>
      </w:r>
      <w:r>
        <w:rPr>
          <w:rFonts w:hint="default" w:ascii="Times New Roman" w:hAnsi="Times New Roman" w:cs="Times New Roman"/>
          <w:sz w:val="24"/>
          <w:szCs w:val="24"/>
        </w:rPr>
        <w:t xml:space="preserve">, Abomey-Calavi, Les Editions de la Miséricorde,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 édition mise à jour</w:t>
      </w:r>
      <w:r>
        <w:rPr>
          <w:rFonts w:hint="default" w:ascii="Times New Roman" w:hAnsi="Times New Roman" w:cs="Times New Roman"/>
          <w:sz w:val="24"/>
          <w:szCs w:val="24"/>
        </w:rPr>
        <w:t>, 20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AKEREKORO (H.), </w:t>
      </w:r>
      <w:r>
        <w:rPr>
          <w:rFonts w:ascii="Times New Roman" w:hAnsi="Times New Roman" w:cs="Times New Roman"/>
          <w:i/>
          <w:sz w:val="24"/>
          <w:szCs w:val="24"/>
        </w:rPr>
        <w:t>Les grands arrêts de la jurisprudence administrative béninoise</w:t>
      </w:r>
      <w:r>
        <w:rPr>
          <w:rFonts w:ascii="Times New Roman" w:hAnsi="Times New Roman" w:cs="Times New Roman"/>
          <w:sz w:val="24"/>
          <w:szCs w:val="24"/>
        </w:rPr>
        <w:t>, Abomey-Calavi, Les Editions de la Miséricorde, 2018.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AUBER (E.), CERVELLE (D.), </w:t>
      </w:r>
      <w:r>
        <w:rPr>
          <w:rFonts w:ascii="Times New Roman" w:hAnsi="Times New Roman" w:cs="Times New Roman"/>
          <w:i/>
          <w:sz w:val="24"/>
          <w:szCs w:val="24"/>
        </w:rPr>
        <w:t>Les collectivités territoriales. Une approche juridique et pratique de la décentralisation</w:t>
      </w:r>
      <w:r>
        <w:rPr>
          <w:rFonts w:ascii="Times New Roman" w:hAnsi="Times New Roman" w:cs="Times New Roman"/>
          <w:sz w:val="24"/>
          <w:szCs w:val="24"/>
        </w:rPr>
        <w:t xml:space="preserve">, Paris, Editions SEDES, 2010. 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AUBY (J.-B.), </w:t>
      </w:r>
      <w:r>
        <w:rPr>
          <w:rFonts w:ascii="Times New Roman" w:hAnsi="Times New Roman" w:cs="Times New Roman"/>
          <w:i/>
          <w:sz w:val="24"/>
          <w:szCs w:val="24"/>
        </w:rPr>
        <w:t>La décentralisation et le droit</w:t>
      </w:r>
      <w:r>
        <w:rPr>
          <w:rFonts w:ascii="Times New Roman" w:hAnsi="Times New Roman" w:cs="Times New Roman"/>
          <w:sz w:val="24"/>
          <w:szCs w:val="24"/>
        </w:rPr>
        <w:t>, Paris, LGDJ, 2006.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AUBY (J.-B.) et AUBY (J.-F.) et NOGUELLOU, </w:t>
      </w:r>
      <w:r>
        <w:rPr>
          <w:rFonts w:ascii="Times New Roman" w:hAnsi="Times New Roman" w:cs="Times New Roman"/>
          <w:i/>
          <w:sz w:val="24"/>
          <w:szCs w:val="24"/>
        </w:rPr>
        <w:t>Droit des collectivités locales</w:t>
      </w:r>
      <w:r>
        <w:rPr>
          <w:rFonts w:ascii="Times New Roman" w:hAnsi="Times New Roman" w:cs="Times New Roman"/>
          <w:sz w:val="24"/>
          <w:szCs w:val="24"/>
        </w:rPr>
        <w:t>, Paris, Puf, 2009.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BACOYANNIS (C.), </w:t>
      </w:r>
      <w:r>
        <w:rPr>
          <w:rFonts w:ascii="Times New Roman" w:hAnsi="Times New Roman" w:cs="Times New Roman"/>
          <w:i/>
          <w:sz w:val="24"/>
          <w:szCs w:val="24"/>
        </w:rPr>
        <w:t>Le principe constitutionnel de la libre administration des collectivités territoriales</w:t>
      </w:r>
      <w:r>
        <w:rPr>
          <w:rFonts w:ascii="Times New Roman" w:hAnsi="Times New Roman" w:cs="Times New Roman"/>
          <w:sz w:val="24"/>
          <w:szCs w:val="24"/>
        </w:rPr>
        <w:t>, Paris, Economica, 1993.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BRISSON (J.-F.), </w:t>
      </w:r>
      <w:r>
        <w:rPr>
          <w:rFonts w:ascii="Times New Roman" w:hAnsi="Times New Roman" w:cs="Times New Roman"/>
          <w:i/>
          <w:sz w:val="24"/>
          <w:szCs w:val="24"/>
        </w:rPr>
        <w:t>Les transferts de compétences de l’Etat aux collectivités locales</w:t>
      </w:r>
      <w:r>
        <w:rPr>
          <w:rFonts w:ascii="Times New Roman" w:hAnsi="Times New Roman" w:cs="Times New Roman"/>
          <w:sz w:val="24"/>
          <w:szCs w:val="24"/>
        </w:rPr>
        <w:t>, Paris, L’Harmattan, 2009.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FAURE (B.), </w:t>
      </w:r>
      <w:r>
        <w:rPr>
          <w:rFonts w:ascii="Times New Roman" w:hAnsi="Times New Roman" w:cs="Times New Roman"/>
          <w:i/>
          <w:sz w:val="24"/>
          <w:szCs w:val="24"/>
        </w:rPr>
        <w:t>Droit des collectivités territoriales</w:t>
      </w:r>
      <w:r>
        <w:rPr>
          <w:rFonts w:ascii="Times New Roman" w:hAnsi="Times New Roman" w:cs="Times New Roman"/>
          <w:sz w:val="24"/>
          <w:szCs w:val="24"/>
        </w:rPr>
        <w:t>, Paris, Dalloz,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2014.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VERPEAUX (M.) et JANICOT (L.), </w:t>
      </w:r>
      <w:r>
        <w:rPr>
          <w:rFonts w:ascii="Times New Roman" w:hAnsi="Times New Roman" w:cs="Times New Roman"/>
          <w:i/>
          <w:sz w:val="24"/>
          <w:szCs w:val="24"/>
        </w:rPr>
        <w:t>Droit des collectivités territoriales</w:t>
      </w:r>
      <w:r>
        <w:rPr>
          <w:rFonts w:ascii="Times New Roman" w:hAnsi="Times New Roman" w:cs="Times New Roman"/>
          <w:sz w:val="24"/>
          <w:szCs w:val="24"/>
        </w:rPr>
        <w:t>, Paris, Puf, 2015.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Articles et contributions</w:t>
      </w:r>
    </w:p>
    <w:p>
      <w:pPr>
        <w:pStyle w:val="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AKEREKORO (H.), « L’Etablissement Public de Coopération Intercommunale (EPCI) en droit béninois de la décentralisation », </w:t>
      </w:r>
      <w:r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SALAMI (I. D.) (dir.), </w:t>
      </w:r>
      <w:r>
        <w:rPr>
          <w:rFonts w:ascii="Times New Roman" w:hAnsi="Times New Roman" w:cs="Times New Roman"/>
          <w:i/>
          <w:sz w:val="24"/>
          <w:szCs w:val="24"/>
        </w:rPr>
        <w:t>L’effectivité de la décentralisation au Bénin. Bilan des 10 ans de la décentralisation</w:t>
      </w:r>
      <w:r>
        <w:rPr>
          <w:rFonts w:ascii="Times New Roman" w:hAnsi="Times New Roman" w:cs="Times New Roman"/>
          <w:sz w:val="24"/>
          <w:szCs w:val="24"/>
        </w:rPr>
        <w:t>, Cotonou, Editions CeDAT, 2016, pp. 219-253.</w:t>
      </w:r>
    </w:p>
    <w:p>
      <w:pPr>
        <w:pStyle w:val="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DANTONEL-COR (N.), « L’évolution de la notion de collectivité territoriale au prisme de la recomposition des territoires locaux », </w:t>
      </w:r>
      <w:r>
        <w:rPr>
          <w:rFonts w:ascii="Times New Roman" w:hAnsi="Times New Roman" w:cs="Times New Roman"/>
          <w:i/>
          <w:sz w:val="24"/>
          <w:szCs w:val="24"/>
        </w:rPr>
        <w:t>in Civitas Europa</w:t>
      </w:r>
      <w:r>
        <w:rPr>
          <w:rFonts w:ascii="Times New Roman" w:hAnsi="Times New Roman" w:cs="Times New Roman"/>
          <w:sz w:val="24"/>
          <w:szCs w:val="24"/>
        </w:rPr>
        <w:t>, n° 1, 2018, pp. 281-297.</w:t>
      </w:r>
    </w:p>
    <w:p>
      <w:pPr>
        <w:pStyle w:val="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HOLO (Th.), « La décentralisation au Bénin : mythe ou réalité ? », </w:t>
      </w:r>
      <w:r>
        <w:rPr>
          <w:rFonts w:ascii="Times New Roman" w:hAnsi="Times New Roman" w:cs="Times New Roman"/>
          <w:i/>
          <w:sz w:val="24"/>
          <w:szCs w:val="24"/>
        </w:rPr>
        <w:t>in RBSJA</w:t>
      </w:r>
      <w:r>
        <w:rPr>
          <w:rFonts w:ascii="Times New Roman" w:hAnsi="Times New Roman" w:cs="Times New Roman"/>
          <w:sz w:val="24"/>
          <w:szCs w:val="24"/>
        </w:rPr>
        <w:t>, n° 7, décembre 1986, pp. 1-15.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MEDE (N.), « L’autonomisation « </w:t>
      </w:r>
      <w:r>
        <w:rPr>
          <w:rFonts w:ascii="Times New Roman" w:hAnsi="Times New Roman" w:cs="Times New Roman"/>
          <w:i/>
          <w:sz w:val="24"/>
          <w:szCs w:val="24"/>
        </w:rPr>
        <w:t>retenue</w:t>
      </w:r>
      <w:r>
        <w:rPr>
          <w:rFonts w:ascii="Times New Roman" w:hAnsi="Times New Roman" w:cs="Times New Roman"/>
          <w:sz w:val="24"/>
          <w:szCs w:val="24"/>
        </w:rPr>
        <w:t xml:space="preserve"> ». Etude sur le principe de libre administration des collectivités territoriales en Afrique de l’Ouest francophone », </w:t>
      </w:r>
      <w:r>
        <w:rPr>
          <w:rFonts w:ascii="Times New Roman" w:hAnsi="Times New Roman" w:cs="Times New Roman"/>
          <w:i/>
          <w:sz w:val="24"/>
          <w:szCs w:val="24"/>
        </w:rPr>
        <w:t>in Cahiers Africains d’Administration Publique, Revue semestrielle</w:t>
      </w:r>
      <w:r>
        <w:rPr>
          <w:rFonts w:ascii="Times New Roman" w:hAnsi="Times New Roman" w:cs="Times New Roman"/>
          <w:sz w:val="24"/>
          <w:szCs w:val="24"/>
        </w:rPr>
        <w:t>, n° 73, 2009, pp. 1-17.</w:t>
      </w:r>
    </w:p>
    <w:p>
      <w:pPr>
        <w:pStyle w:val="6"/>
        <w:numPr>
          <w:numId w:val="0"/>
        </w:numPr>
        <w:ind w:left="360" w:leftChars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Textes juridiques</w:t>
      </w:r>
    </w:p>
    <w:p>
      <w:pPr>
        <w:pStyle w:val="6"/>
        <w:ind w:left="2520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Loi n° 90-032 du 11 décembre 1990 portant Constitution de la République du Bénin, révisée par la Loi n° 2019-40 du 07 novembre 2019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 son article 98, alinéa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et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tirets, alinéa 2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tiret et en son Titre X « </w:t>
      </w:r>
      <w:r>
        <w:rPr>
          <w:rFonts w:ascii="Times New Roman" w:hAnsi="Times New Roman" w:cs="Times New Roman"/>
          <w:i/>
          <w:sz w:val="24"/>
          <w:szCs w:val="24"/>
        </w:rPr>
        <w:t>Des collectivités territoriales</w:t>
      </w:r>
      <w:r>
        <w:rPr>
          <w:rFonts w:ascii="Times New Roman" w:hAnsi="Times New Roman" w:cs="Times New Roman"/>
          <w:sz w:val="24"/>
          <w:szCs w:val="24"/>
        </w:rPr>
        <w:t> ».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Loi n° 2019-43 du 15 novembre 2019 portant Code électoral en République du Bénin en son Livre V « </w:t>
      </w:r>
      <w:r>
        <w:rPr>
          <w:rFonts w:hint="default" w:ascii="Times New Roman" w:hAnsi="Times New Roman" w:cs="Times New Roman"/>
          <w:i/>
          <w:sz w:val="24"/>
          <w:szCs w:val="24"/>
        </w:rPr>
        <w:t>Des règles particulières applicables aux élections des membres des conseillers communaux</w:t>
      </w:r>
      <w:r>
        <w:rPr>
          <w:rFonts w:hint="default" w:ascii="Times New Roman" w:hAnsi="Times New Roman" w:cs="Times New Roman"/>
          <w:sz w:val="24"/>
          <w:szCs w:val="24"/>
        </w:rPr>
        <w:t> »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, interprétée et complétée par la Loi n° 2020-13 du 04 juin 2020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jc w:val="both"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Loi n° 20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26</w:t>
      </w:r>
      <w:r>
        <w:rPr>
          <w:rFonts w:hint="default" w:ascii="Times New Roman" w:hAnsi="Times New Roman" w:cs="Times New Roman"/>
          <w:sz w:val="24"/>
          <w:szCs w:val="24"/>
        </w:rPr>
        <w:t xml:space="preserve"> du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9 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septem</w:t>
      </w:r>
      <w:r>
        <w:rPr>
          <w:rFonts w:hint="default" w:ascii="Times New Roman" w:hAnsi="Times New Roman" w:cs="Times New Roman"/>
          <w:sz w:val="24"/>
          <w:szCs w:val="24"/>
        </w:rPr>
        <w:t>bre 20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portant code des marchés publics en République du Bénin.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Loi n</w:t>
      </w:r>
      <w:r>
        <w:rPr>
          <w:rFonts w:ascii="Times New Roman" w:hAnsi="Times New Roman" w:cs="Times New Roman"/>
          <w:sz w:val="24"/>
          <w:szCs w:val="24"/>
        </w:rPr>
        <w:t>° 97-028 du 15 janvier 1999 portant organisation de l’Administration territoriale de la République du Bénin et ses décrets d’application.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Loi n° 97-029 du 15 janvier 1999 portant organisation des Communes en République du Bénin et ses décrets d’application.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Loi n° 98-005 du 15 janvier 1999 portant organisation des Communes à statut particulier en République du Bénin.</w:t>
      </w:r>
    </w:p>
    <w:p>
      <w:pPr>
        <w:pStyle w:val="6"/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  <w:szCs w:val="24"/>
        </w:rPr>
        <w:t>Loi n° 2017-04 du 19 octobre 2017 portant code des marchés publics en République du Bénin.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Loi n° 2009-17 du 13 août 2009 portant modalités de l’intercommunalité en République du Bénin.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Loi n° 2013-05 du 27 mai 2013 portant création, organisation, attributions et fonctionnement des unités administratives locales en République du Bénin, modifiée et complétée par la Loi n° 2015-01 du 06 mars 2015.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2018-31 du 09 octobre 2018 portant Code électoral en République du Bénin en son Livre V « </w:t>
      </w:r>
      <w:r>
        <w:rPr>
          <w:rFonts w:ascii="Times New Roman" w:hAnsi="Times New Roman" w:cs="Times New Roman"/>
          <w:i/>
          <w:sz w:val="24"/>
          <w:szCs w:val="24"/>
        </w:rPr>
        <w:t>Des règles particulières applicables aux élections des membres des conseillers communaux ou municipaux et des membres des conseils de village ou de quartier de ville en République du Bénin</w:t>
      </w:r>
      <w:r>
        <w:rPr>
          <w:rFonts w:ascii="Times New Roman" w:hAnsi="Times New Roman" w:cs="Times New Roman"/>
          <w:sz w:val="24"/>
          <w:szCs w:val="24"/>
        </w:rPr>
        <w:t> ».</w:t>
      </w:r>
    </w:p>
    <w:p>
      <w:pPr>
        <w:pStyle w:val="6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2013-07 du 4 juin 2013 portant dispositions transitoires dérogatoires à l’article 86 de la Loi n° 98-006 du 9 mars 2000 portant régime électoral communal et municipal en République du Bénin et aux articles 4 et 6 de la Loi n° 2007-28 du 23 novembre 2007 applicables aux élections des conseillers communaux ou municipaux et des conseillers de village et de quartier de ville au Bénin.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JURISPRUDENCE CONSTITUTIONNELLE ET ADMINISTRATIVE</w:t>
      </w:r>
    </w:p>
    <w:p>
      <w:pPr>
        <w:pStyle w:val="6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décisions de la Cour Constitutionnelle du Bénin sur les autorités locales et les droits de l’homme.</w:t>
      </w:r>
    </w:p>
    <w:p>
      <w:pPr>
        <w:pStyle w:val="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Grands Arrêts du Droit de la Décentralisation(GADD) (France).</w:t>
      </w:r>
    </w:p>
    <w:p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2832"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SYLLABUS</w:t>
      </w:r>
    </w:p>
    <w:p/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 GENERALE</w:t>
      </w:r>
    </w:p>
    <w:p>
      <w:pPr>
        <w:pStyle w:val="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Histoire des collectivités territoriales au Bénin</w:t>
      </w:r>
    </w:p>
    <w:p>
      <w:pPr>
        <w:pStyle w:val="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 du Droit des collectivités territoriales</w:t>
      </w:r>
    </w:p>
    <w:p>
      <w:pPr>
        <w:pStyle w:val="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Sources du Droit des collectivités  territoriales </w:t>
      </w:r>
    </w:p>
    <w:p>
      <w:pPr>
        <w:pStyle w:val="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Caractères du Droit des collectivités territoriales</w:t>
      </w:r>
    </w:p>
    <w:p>
      <w:pPr>
        <w:pStyle w:val="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Problématique et plan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PREMIERE PARTIE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PRINCIPE DE LA LIBRE ADMINISTRATION DES COLLECTIVITES TERRITORIALES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I</w:t>
      </w:r>
      <w:r>
        <w:rPr>
          <w:rFonts w:ascii="Times New Roman" w:hAnsi="Times New Roman" w:cs="Times New Roman"/>
          <w:b/>
          <w:sz w:val="24"/>
          <w:szCs w:val="24"/>
        </w:rPr>
        <w:t> : La libre administration institutionnelle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 xml:space="preserve"> : L’élection des conseillers communaux ou municipaux et </w:t>
      </w:r>
      <w:r>
        <w:rPr>
          <w:rFonts w:ascii="Times New Roman" w:hAnsi="Times New Roman" w:cs="Times New Roman"/>
          <w:i/>
          <w:sz w:val="24"/>
          <w:szCs w:val="24"/>
        </w:rPr>
        <w:t>infra</w:t>
      </w:r>
      <w:r>
        <w:rPr>
          <w:rFonts w:ascii="Times New Roman" w:hAnsi="Times New Roman" w:cs="Times New Roman"/>
          <w:sz w:val="24"/>
          <w:szCs w:val="24"/>
        </w:rPr>
        <w:t xml:space="preserve"> communaux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 1</w:t>
      </w:r>
      <w:r>
        <w:rPr>
          <w:rFonts w:ascii="Times New Roman" w:hAnsi="Times New Roman" w:cs="Times New Roman"/>
          <w:sz w:val="24"/>
          <w:szCs w:val="24"/>
        </w:rPr>
        <w:t> : L’organisation des élections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 La Liste Electorale Permanente Informatisée (LEPI) et la Commission Electorale Nationale Autonome (CENA)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Liste Electorale Permanente Informatisée (LEPI)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B-La Commission Electorale Nationale Autonome (CENA)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1-La composition de la Commission Electorale Nationale Autonome (CENA)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2-Les compétences de la Commission Electorale Nationale Autonome (CENA)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II-Les candidatures aux élections locales, les règles matérielles des élections et le mode de scrutin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 contentieux électoral local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I-L’organe chargé du contentieux électoral local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II-Les missions de l’organe chargé du contentieux électoral local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saisine du juge des élections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compétences du juge des élections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 xml:space="preserve"> : Les organes des collectivités territoriales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 xml:space="preserve"> : Les organes communaux ou municipaux et </w:t>
      </w:r>
      <w:r>
        <w:rPr>
          <w:rFonts w:ascii="Times New Roman" w:hAnsi="Times New Roman" w:cs="Times New Roman"/>
          <w:i/>
          <w:sz w:val="24"/>
          <w:szCs w:val="24"/>
        </w:rPr>
        <w:t>infra</w:t>
      </w:r>
      <w:r>
        <w:rPr>
          <w:rFonts w:ascii="Times New Roman" w:hAnsi="Times New Roman" w:cs="Times New Roman"/>
          <w:sz w:val="24"/>
          <w:szCs w:val="24"/>
        </w:rPr>
        <w:t xml:space="preserve"> communaux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I-Les organes communaux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A-L’organe exécutif : le maire et ses adjoints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1-L’élection du maire et de ses adjoints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2-Les fonctions du maire de la commune ou de la municipalité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B-L’organe délibérant : le conseil communal ou municipal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1-Le conseil communal ou municipal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2-Les rapports entre les élus et les citoyens : la participation des citoyens à la vie locale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II-Les organes </w:t>
      </w:r>
      <w:r>
        <w:rPr>
          <w:rFonts w:ascii="Times New Roman" w:hAnsi="Times New Roman" w:cs="Times New Roman"/>
          <w:i/>
          <w:sz w:val="24"/>
          <w:szCs w:val="24"/>
        </w:rPr>
        <w:t>infra</w:t>
      </w:r>
      <w:r>
        <w:rPr>
          <w:rFonts w:ascii="Times New Roman" w:hAnsi="Times New Roman" w:cs="Times New Roman"/>
          <w:sz w:val="24"/>
          <w:szCs w:val="24"/>
        </w:rPr>
        <w:t xml:space="preserve"> communaux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 conseil et le chef d’arrondissement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1-Le conseil d’arrondissement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2-Le chef d’arrondissement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 Conseil et le Chef de village ou de quartier de ville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1-Le conseil de village ou de quartier de ville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2-Le chef de village ou de quartier de ville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organes de la coopération intercommunale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I-L’organe délibérant : le Conseil de communauté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II-L’organe exécutif : le Président de l’Etablissement Public de Coopération Intercommunale (EPCI)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II</w:t>
      </w:r>
      <w:r>
        <w:rPr>
          <w:rFonts w:ascii="Times New Roman" w:hAnsi="Times New Roman" w:cs="Times New Roman"/>
          <w:b/>
          <w:sz w:val="24"/>
          <w:szCs w:val="24"/>
        </w:rPr>
        <w:t> : La libre administration fonctionnelle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Les compétences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La nécessité des compétences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nature des compétences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La typologie des compétences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Les compétences des communes béninoises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A-Les compétences propres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B-Les compétences partagées et déléguées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compétences de l’Etablissement Public de Coopération Intercommunale (EPCI)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SECONDE PARTIE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LE CONTROLE DES ACTES DES AUTORITES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I</w:t>
      </w:r>
      <w:r>
        <w:rPr>
          <w:rFonts w:ascii="Times New Roman" w:hAnsi="Times New Roman" w:cs="Times New Roman"/>
          <w:b/>
          <w:sz w:val="24"/>
          <w:szCs w:val="24"/>
        </w:rPr>
        <w:t> : L’étape administrative : la tutelle administrative sur les collectivités territoriales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 contrôle administratif de légalité des actes locaux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L’organe chargé du contrôle de tutelle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I-L’autorité préfectorale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II-Les structures qui assistent le Préfet du département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Conférence Administrative Départementale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B-Le Conseil Départemental de Concertation et de Coordination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Les pouvoirs reconnus à l’autorité de tutelle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I-L’approbation, l’annulation et la substitution d’action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A-L’approbation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B-L’annulation et la substitution d’action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II-Le contrôle d’opportunité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Les sanctions des autorités locales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La destitution et la révocation du maire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I-La destitution du maire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II-La révocation du maire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dissolution du Conseil communal ou municipal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Chapitre II</w:t>
      </w:r>
      <w:r>
        <w:rPr>
          <w:rFonts w:ascii="Times New Roman" w:hAnsi="Times New Roman" w:cs="Times New Roman"/>
          <w:b/>
          <w:sz w:val="24"/>
          <w:szCs w:val="24"/>
        </w:rPr>
        <w:t> : L’étape juridictionnelle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1</w:t>
      </w:r>
      <w:r>
        <w:rPr>
          <w:rFonts w:ascii="Times New Roman" w:hAnsi="Times New Roman" w:cs="Times New Roman"/>
          <w:sz w:val="24"/>
          <w:szCs w:val="24"/>
        </w:rPr>
        <w:t> : Le contrôle de constitutionnalité des actes locaux violant les droits de l’homme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La suprématie de la Constitution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La nécessité de la violation des droits de l’homme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Section 2</w:t>
      </w:r>
      <w:r>
        <w:rPr>
          <w:rFonts w:ascii="Times New Roman" w:hAnsi="Times New Roman" w:cs="Times New Roman"/>
          <w:sz w:val="24"/>
          <w:szCs w:val="24"/>
        </w:rPr>
        <w:t> : Le déféré préfectoral et le Recours pour Excès de Pouvoir (REP)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1</w:t>
      </w:r>
      <w:r>
        <w:rPr>
          <w:rFonts w:ascii="Times New Roman" w:hAnsi="Times New Roman" w:cs="Times New Roman"/>
          <w:sz w:val="24"/>
          <w:szCs w:val="24"/>
        </w:rPr>
        <w:t> : Le déféré préfectoral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I-La transmission des actes locaux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II-Les nuances du déféré préfectoral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Paragraphe 2</w:t>
      </w:r>
      <w:r>
        <w:rPr>
          <w:rFonts w:ascii="Times New Roman" w:hAnsi="Times New Roman" w:cs="Times New Roman"/>
          <w:sz w:val="24"/>
          <w:szCs w:val="24"/>
        </w:rPr>
        <w:t> : Le Recours pour Excès de Pouvoir (REP) et la responsabilité des communes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I-L’accès au juge administratif et son office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II-La responsabilité des communes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A-La responsabilité civile des communes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B-La responsabilité administrative des communes</w:t>
      </w:r>
    </w:p>
    <w:p>
      <w:pPr>
        <w:spacing w:after="0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17CFB"/>
    <w:multiLevelType w:val="multilevel"/>
    <w:tmpl w:val="25817CF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30B7167C"/>
    <w:multiLevelType w:val="multilevel"/>
    <w:tmpl w:val="30B716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8A24B29"/>
    <w:multiLevelType w:val="multilevel"/>
    <w:tmpl w:val="38A24B29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41A04DBB"/>
    <w:multiLevelType w:val="multilevel"/>
    <w:tmpl w:val="41A04DBB"/>
    <w:lvl w:ilvl="0" w:tentative="0">
      <w:start w:val="2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5802FA"/>
    <w:multiLevelType w:val="multilevel"/>
    <w:tmpl w:val="4C5802FA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C284763"/>
    <w:multiLevelType w:val="multilevel"/>
    <w:tmpl w:val="5C284763"/>
    <w:lvl w:ilvl="0" w:tentative="0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C217C6"/>
    <w:multiLevelType w:val="multilevel"/>
    <w:tmpl w:val="61C217C6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 w:ascii="Times New Roman" w:hAnsi="Times New Roman" w:cs="Times New Roman"/>
        <w:b w:val="0"/>
        <w:strike w:val="0"/>
        <w:dstrike w:val="0"/>
        <w:sz w:val="24"/>
        <w:szCs w:val="24"/>
        <w:u w:val="non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9B04640"/>
    <w:multiLevelType w:val="multilevel"/>
    <w:tmpl w:val="69B04640"/>
    <w:lvl w:ilvl="0" w:tentative="0">
      <w:start w:val="0"/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nsid w:val="6BEE6923"/>
    <w:multiLevelType w:val="multilevel"/>
    <w:tmpl w:val="6BEE6923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6C9C7DDA"/>
    <w:multiLevelType w:val="multilevel"/>
    <w:tmpl w:val="6C9C7DDA"/>
    <w:lvl w:ilvl="0" w:tentative="0">
      <w:start w:val="1"/>
      <w:numFmt w:val="upperLetter"/>
      <w:lvlText w:val="%1-"/>
      <w:lvlJc w:val="left"/>
      <w:pPr>
        <w:ind w:left="28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600" w:hanging="360"/>
      </w:pPr>
    </w:lvl>
    <w:lvl w:ilvl="2" w:tentative="0">
      <w:start w:val="1"/>
      <w:numFmt w:val="lowerRoman"/>
      <w:lvlText w:val="%3."/>
      <w:lvlJc w:val="right"/>
      <w:pPr>
        <w:ind w:left="4320" w:hanging="180"/>
      </w:pPr>
    </w:lvl>
    <w:lvl w:ilvl="3" w:tentative="0">
      <w:start w:val="1"/>
      <w:numFmt w:val="decimal"/>
      <w:lvlText w:val="%4."/>
      <w:lvlJc w:val="left"/>
      <w:pPr>
        <w:ind w:left="5040" w:hanging="360"/>
      </w:pPr>
    </w:lvl>
    <w:lvl w:ilvl="4" w:tentative="0">
      <w:start w:val="1"/>
      <w:numFmt w:val="lowerLetter"/>
      <w:lvlText w:val="%5."/>
      <w:lvlJc w:val="left"/>
      <w:pPr>
        <w:ind w:left="5760" w:hanging="360"/>
      </w:pPr>
    </w:lvl>
    <w:lvl w:ilvl="5" w:tentative="0">
      <w:start w:val="1"/>
      <w:numFmt w:val="lowerRoman"/>
      <w:lvlText w:val="%6."/>
      <w:lvlJc w:val="right"/>
      <w:pPr>
        <w:ind w:left="6480" w:hanging="180"/>
      </w:pPr>
    </w:lvl>
    <w:lvl w:ilvl="6" w:tentative="0">
      <w:start w:val="1"/>
      <w:numFmt w:val="decimal"/>
      <w:lvlText w:val="%7."/>
      <w:lvlJc w:val="left"/>
      <w:pPr>
        <w:ind w:left="7200" w:hanging="360"/>
      </w:pPr>
    </w:lvl>
    <w:lvl w:ilvl="7" w:tentative="0">
      <w:start w:val="1"/>
      <w:numFmt w:val="lowerLetter"/>
      <w:lvlText w:val="%8."/>
      <w:lvlJc w:val="left"/>
      <w:pPr>
        <w:ind w:left="7920" w:hanging="360"/>
      </w:pPr>
    </w:lvl>
    <w:lvl w:ilvl="8" w:tentative="0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DD6729B"/>
    <w:multiLevelType w:val="multilevel"/>
    <w:tmpl w:val="6DD6729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nsid w:val="714A6E87"/>
    <w:multiLevelType w:val="multilevel"/>
    <w:tmpl w:val="714A6E8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1791F"/>
    <w:rsid w:val="00020C3D"/>
    <w:rsid w:val="00077B0E"/>
    <w:rsid w:val="0011791F"/>
    <w:rsid w:val="002225A2"/>
    <w:rsid w:val="002D3A9A"/>
    <w:rsid w:val="0052111F"/>
    <w:rsid w:val="005D25DF"/>
    <w:rsid w:val="0060500E"/>
    <w:rsid w:val="007E12BB"/>
    <w:rsid w:val="00836AC7"/>
    <w:rsid w:val="00904F3C"/>
    <w:rsid w:val="009928C0"/>
    <w:rsid w:val="00A064B0"/>
    <w:rsid w:val="00A712A4"/>
    <w:rsid w:val="00BD13AA"/>
    <w:rsid w:val="00D813A7"/>
    <w:rsid w:val="00DB4272"/>
    <w:rsid w:val="02110AF9"/>
    <w:rsid w:val="03CC4F9D"/>
    <w:rsid w:val="04CD0BDC"/>
    <w:rsid w:val="05AC784A"/>
    <w:rsid w:val="078B0264"/>
    <w:rsid w:val="09A024D8"/>
    <w:rsid w:val="0C456747"/>
    <w:rsid w:val="1628406C"/>
    <w:rsid w:val="18A04D78"/>
    <w:rsid w:val="1D3F774A"/>
    <w:rsid w:val="1E45531A"/>
    <w:rsid w:val="21CF1CDD"/>
    <w:rsid w:val="26C010B4"/>
    <w:rsid w:val="283A2D4A"/>
    <w:rsid w:val="2C5D7B95"/>
    <w:rsid w:val="2D2A13B9"/>
    <w:rsid w:val="2E570123"/>
    <w:rsid w:val="2F9D1697"/>
    <w:rsid w:val="2FF47090"/>
    <w:rsid w:val="31215F4D"/>
    <w:rsid w:val="31354207"/>
    <w:rsid w:val="31921E74"/>
    <w:rsid w:val="353E21EA"/>
    <w:rsid w:val="36E80443"/>
    <w:rsid w:val="3765780A"/>
    <w:rsid w:val="387062E7"/>
    <w:rsid w:val="38D111C1"/>
    <w:rsid w:val="3E057A4B"/>
    <w:rsid w:val="40142587"/>
    <w:rsid w:val="41C228EC"/>
    <w:rsid w:val="448B44AD"/>
    <w:rsid w:val="461D70A6"/>
    <w:rsid w:val="462F72EF"/>
    <w:rsid w:val="46CC5EDE"/>
    <w:rsid w:val="48293A4E"/>
    <w:rsid w:val="4AF36D75"/>
    <w:rsid w:val="4DDD7FC1"/>
    <w:rsid w:val="5091596D"/>
    <w:rsid w:val="55F63806"/>
    <w:rsid w:val="582A6ECF"/>
    <w:rsid w:val="59D1362D"/>
    <w:rsid w:val="5A6F6510"/>
    <w:rsid w:val="5BA35F61"/>
    <w:rsid w:val="5F375646"/>
    <w:rsid w:val="5F903B6C"/>
    <w:rsid w:val="601E6A28"/>
    <w:rsid w:val="60C61CC6"/>
    <w:rsid w:val="615E6080"/>
    <w:rsid w:val="642E4B5B"/>
    <w:rsid w:val="668B2D2F"/>
    <w:rsid w:val="67182503"/>
    <w:rsid w:val="67A53CF0"/>
    <w:rsid w:val="681645A0"/>
    <w:rsid w:val="694F3BA7"/>
    <w:rsid w:val="6C2C1D5D"/>
    <w:rsid w:val="70833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link w:val="7"/>
    <w:unhideWhenUsed/>
    <w:uiPriority w:val="0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paragraph" w:styleId="4">
    <w:name w:val="Normal (Web)"/>
    <w:basedOn w:val="1"/>
    <w:unhideWhenUsed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ote de bas de page Car"/>
    <w:basedOn w:val="2"/>
    <w:link w:val="3"/>
    <w:uiPriority w:val="0"/>
    <w:rPr>
      <w:rFonts w:eastAsiaTheme="minorEastAsia"/>
      <w:sz w:val="20"/>
      <w:szCs w:val="20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1499</Words>
  <Characters>8247</Characters>
  <Lines>68</Lines>
  <Paragraphs>19</Paragraphs>
  <TotalTime>1</TotalTime>
  <ScaleCrop>false</ScaleCrop>
  <LinksUpToDate>false</LinksUpToDate>
  <CharactersWithSpaces>9727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2019-10-29T11:22:00Z</dcterms:created>
  <dc:creator>Hilaire AKEREKORO</dc:creator>
  <cp:lastModifiedBy>Hilaire AKEREKORO</cp:lastModifiedBy>
  <dcterms:modified xsi:type="dcterms:W3CDTF">2021-03-31T12:37:32Z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