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518671697"/>
    <w:bookmarkStart w:id="1" w:name="_Toc518672771"/>
    <w:bookmarkStart w:id="2" w:name="_Toc515108220"/>
    <w:p w:rsidR="003467A6" w:rsidRDefault="00423882" w:rsidP="00002397">
      <w:pPr>
        <w:pStyle w:val="Titre1"/>
        <w:jc w:val="left"/>
      </w:pPr>
      <w:r w:rsidRPr="00423882">
        <w:object w:dxaOrig="9079" w:dyaOrig="137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688.5pt" o:ole="">
            <v:imagedata r:id="rId8" o:title=""/>
          </v:shape>
          <o:OLEObject Type="Embed" ProgID="Word.Document.12" ShapeID="_x0000_i1025" DrawAspect="Content" ObjectID="_1648654492" r:id="rId9">
            <o:FieldCodes>\s</o:FieldCodes>
          </o:OLEObject>
        </w:object>
      </w:r>
      <w:r w:rsidR="003467A6" w:rsidRPr="00BB70C4">
        <w:t>AVERTISSEMENT</w:t>
      </w:r>
      <w:bookmarkEnd w:id="0"/>
      <w:bookmarkEnd w:id="1"/>
    </w:p>
    <w:p w:rsidR="00647C23" w:rsidRPr="00647C23" w:rsidRDefault="00647C23" w:rsidP="00647C23"/>
    <w:p w:rsidR="00AF5040" w:rsidRPr="00AF5040" w:rsidRDefault="00AF5040" w:rsidP="00E471A5">
      <w:pPr>
        <w:jc w:val="both"/>
      </w:pPr>
      <w:r>
        <w:t>« </w:t>
      </w:r>
      <w:r w:rsidRPr="00812EFF">
        <w:rPr>
          <w:rFonts w:ascii="Times New Roman" w:hAnsi="Times New Roman" w:cs="Times New Roman"/>
          <w:i/>
          <w:sz w:val="24"/>
          <w:szCs w:val="24"/>
        </w:rPr>
        <w:t>L’Unité de Formation et de Recherche en Sciences Juridiques et Politiques de l’Université</w:t>
      </w:r>
      <w:r w:rsidR="00812EFF" w:rsidRPr="00812EFF">
        <w:rPr>
          <w:rFonts w:ascii="Times New Roman" w:hAnsi="Times New Roman" w:cs="Times New Roman"/>
          <w:i/>
          <w:sz w:val="24"/>
          <w:szCs w:val="24"/>
        </w:rPr>
        <w:t xml:space="preserve"> Ouaga II n’entend donner aucune approbation, ni improbation aux opinions émises dans les mémoires qui doivent être considérées comme propres à leurs auteurs</w:t>
      </w:r>
      <w:r w:rsidR="00812EFF">
        <w:t> »</w:t>
      </w:r>
      <w:r w:rsidR="00DD64BE">
        <w:t>.</w:t>
      </w:r>
    </w:p>
    <w:p w:rsidR="003467A6" w:rsidRDefault="003467A6" w:rsidP="003467A6">
      <w:pPr>
        <w:rPr>
          <w:rFonts w:ascii="Times New Roman" w:eastAsiaTheme="majorEastAsia" w:hAnsi="Times New Roman" w:cstheme="majorBidi"/>
          <w:sz w:val="32"/>
          <w:szCs w:val="28"/>
        </w:rPr>
      </w:pPr>
      <w:r>
        <w:br w:type="page"/>
      </w:r>
    </w:p>
    <w:p w:rsidR="003467A6" w:rsidRDefault="003467A6" w:rsidP="00414AB8">
      <w:pPr>
        <w:pStyle w:val="Titre1"/>
      </w:pPr>
      <w:bookmarkStart w:id="3" w:name="_Toc518671698"/>
      <w:bookmarkStart w:id="4" w:name="_Toc518672772"/>
      <w:r w:rsidRPr="00BB70C4">
        <w:lastRenderedPageBreak/>
        <w:t>DEDICACES :</w:t>
      </w:r>
      <w:bookmarkEnd w:id="3"/>
      <w:bookmarkEnd w:id="4"/>
    </w:p>
    <w:p w:rsidR="00812EFF" w:rsidRDefault="00812EFF" w:rsidP="00812EFF"/>
    <w:p w:rsidR="00812EFF" w:rsidRPr="00A1301F" w:rsidRDefault="00812EFF" w:rsidP="005B03A6">
      <w:pPr>
        <w:jc w:val="center"/>
        <w:rPr>
          <w:rFonts w:ascii="Times New Roman" w:hAnsi="Times New Roman" w:cs="Times New Roman"/>
          <w:b/>
          <w:i/>
          <w:sz w:val="24"/>
          <w:szCs w:val="24"/>
        </w:rPr>
      </w:pPr>
      <w:r w:rsidRPr="00A1301F">
        <w:rPr>
          <w:rFonts w:ascii="Times New Roman" w:hAnsi="Times New Roman" w:cs="Times New Roman"/>
          <w:b/>
          <w:i/>
          <w:sz w:val="24"/>
          <w:szCs w:val="24"/>
        </w:rPr>
        <w:t>A mon cher Père</w:t>
      </w:r>
    </w:p>
    <w:p w:rsidR="005B03A6" w:rsidRPr="00E471A5" w:rsidRDefault="005B03A6" w:rsidP="005B03A6">
      <w:pPr>
        <w:jc w:val="center"/>
        <w:rPr>
          <w:rFonts w:ascii="Times New Roman" w:hAnsi="Times New Roman" w:cs="Times New Roman"/>
          <w:sz w:val="24"/>
          <w:szCs w:val="24"/>
        </w:rPr>
      </w:pPr>
      <w:r>
        <w:rPr>
          <w:rFonts w:ascii="Times New Roman" w:hAnsi="Times New Roman" w:cs="Times New Roman"/>
          <w:sz w:val="24"/>
          <w:szCs w:val="24"/>
        </w:rPr>
        <w:t>ISSAKA OUSMANE</w:t>
      </w:r>
    </w:p>
    <w:p w:rsidR="00812EFF" w:rsidRPr="00A1301F" w:rsidRDefault="00812EFF" w:rsidP="005B03A6">
      <w:pPr>
        <w:jc w:val="center"/>
        <w:rPr>
          <w:rFonts w:ascii="Times New Roman" w:hAnsi="Times New Roman" w:cs="Times New Roman"/>
          <w:b/>
          <w:i/>
          <w:sz w:val="24"/>
          <w:szCs w:val="24"/>
        </w:rPr>
      </w:pPr>
      <w:r w:rsidRPr="00A1301F">
        <w:rPr>
          <w:rFonts w:ascii="Times New Roman" w:hAnsi="Times New Roman" w:cs="Times New Roman"/>
          <w:b/>
          <w:i/>
          <w:sz w:val="24"/>
          <w:szCs w:val="24"/>
        </w:rPr>
        <w:t>A ma chère Mère</w:t>
      </w:r>
    </w:p>
    <w:p w:rsidR="005B03A6" w:rsidRPr="00E471A5" w:rsidRDefault="005B03A6" w:rsidP="005B03A6">
      <w:pPr>
        <w:jc w:val="center"/>
        <w:rPr>
          <w:rFonts w:ascii="Times New Roman" w:hAnsi="Times New Roman" w:cs="Times New Roman"/>
          <w:sz w:val="24"/>
          <w:szCs w:val="24"/>
        </w:rPr>
      </w:pPr>
      <w:r>
        <w:rPr>
          <w:rFonts w:ascii="Times New Roman" w:hAnsi="Times New Roman" w:cs="Times New Roman"/>
          <w:sz w:val="24"/>
          <w:szCs w:val="24"/>
        </w:rPr>
        <w:t>MARIAMA OUSMANE</w:t>
      </w:r>
    </w:p>
    <w:p w:rsidR="00812EFF" w:rsidRPr="00A1301F" w:rsidRDefault="00812EFF" w:rsidP="005B03A6">
      <w:pPr>
        <w:jc w:val="center"/>
        <w:rPr>
          <w:rFonts w:ascii="Times New Roman" w:hAnsi="Times New Roman" w:cs="Times New Roman"/>
          <w:b/>
          <w:i/>
          <w:sz w:val="24"/>
          <w:szCs w:val="24"/>
        </w:rPr>
      </w:pPr>
      <w:r w:rsidRPr="00A1301F">
        <w:rPr>
          <w:rFonts w:ascii="Times New Roman" w:hAnsi="Times New Roman" w:cs="Times New Roman"/>
          <w:b/>
          <w:i/>
          <w:sz w:val="24"/>
          <w:szCs w:val="24"/>
        </w:rPr>
        <w:t xml:space="preserve">A mes </w:t>
      </w:r>
      <w:r w:rsidR="00E471A5" w:rsidRPr="00A1301F">
        <w:rPr>
          <w:rFonts w:ascii="Times New Roman" w:hAnsi="Times New Roman" w:cs="Times New Roman"/>
          <w:b/>
          <w:i/>
          <w:sz w:val="24"/>
          <w:szCs w:val="24"/>
        </w:rPr>
        <w:t>grands-parents</w:t>
      </w:r>
    </w:p>
    <w:p w:rsidR="005B03A6" w:rsidRPr="00E471A5" w:rsidRDefault="005B03A6" w:rsidP="005B03A6">
      <w:pPr>
        <w:jc w:val="center"/>
        <w:rPr>
          <w:rFonts w:ascii="Times New Roman" w:hAnsi="Times New Roman" w:cs="Times New Roman"/>
          <w:sz w:val="24"/>
          <w:szCs w:val="24"/>
        </w:rPr>
      </w:pPr>
      <w:r>
        <w:rPr>
          <w:rFonts w:ascii="Times New Roman" w:hAnsi="Times New Roman" w:cs="Times New Roman"/>
          <w:sz w:val="24"/>
          <w:szCs w:val="24"/>
        </w:rPr>
        <w:t>OUSMANE, BALKI et HAOUA</w:t>
      </w:r>
    </w:p>
    <w:p w:rsidR="008543AC" w:rsidRPr="00B30866" w:rsidRDefault="00812EFF" w:rsidP="00B30866">
      <w:pPr>
        <w:rPr>
          <w:rFonts w:ascii="Times New Roman" w:hAnsi="Times New Roman" w:cs="Times New Roman"/>
          <w:b/>
          <w:i/>
          <w:sz w:val="24"/>
          <w:szCs w:val="24"/>
        </w:rPr>
      </w:pPr>
      <w:r w:rsidRPr="00B30866">
        <w:rPr>
          <w:rFonts w:ascii="Times New Roman" w:hAnsi="Times New Roman" w:cs="Times New Roman"/>
          <w:b/>
          <w:i/>
          <w:sz w:val="24"/>
          <w:szCs w:val="24"/>
        </w:rPr>
        <w:t>A mon petit frère</w:t>
      </w:r>
    </w:p>
    <w:p w:rsidR="00812EFF" w:rsidRPr="00E471A5" w:rsidRDefault="00812EFF" w:rsidP="007B7187">
      <w:pPr>
        <w:jc w:val="center"/>
        <w:rPr>
          <w:rFonts w:ascii="Times New Roman" w:hAnsi="Times New Roman" w:cs="Times New Roman"/>
          <w:sz w:val="24"/>
          <w:szCs w:val="24"/>
        </w:rPr>
      </w:pPr>
      <w:r w:rsidRPr="00E471A5">
        <w:rPr>
          <w:rFonts w:ascii="Times New Roman" w:hAnsi="Times New Roman" w:cs="Times New Roman"/>
          <w:sz w:val="24"/>
          <w:szCs w:val="24"/>
        </w:rPr>
        <w:t>Aminou ISSAKA OUSMANE,pour toute la</w:t>
      </w:r>
      <w:r w:rsidR="00E471A5" w:rsidRPr="00E471A5">
        <w:rPr>
          <w:rFonts w:ascii="Times New Roman" w:hAnsi="Times New Roman" w:cs="Times New Roman"/>
          <w:sz w:val="24"/>
          <w:szCs w:val="24"/>
        </w:rPr>
        <w:t xml:space="preserve"> confiance placée en moi et pour les lourds sacrifices constamment consentis toutes ces années pour mon éducation et mes études. Qu’ils trouvent ici l’expression de ma profonde reconnaissance.</w:t>
      </w:r>
    </w:p>
    <w:p w:rsidR="003467A6" w:rsidRDefault="003467A6" w:rsidP="003467A6">
      <w:pPr>
        <w:rPr>
          <w:rFonts w:ascii="Times New Roman" w:eastAsiaTheme="majorEastAsia" w:hAnsi="Times New Roman" w:cstheme="majorBidi"/>
          <w:sz w:val="32"/>
          <w:szCs w:val="28"/>
        </w:rPr>
      </w:pPr>
      <w:r>
        <w:br w:type="page"/>
      </w:r>
    </w:p>
    <w:p w:rsidR="00BB70C4" w:rsidRDefault="00BB70C4" w:rsidP="00414AB8">
      <w:pPr>
        <w:pStyle w:val="Titre1"/>
      </w:pPr>
      <w:bookmarkStart w:id="5" w:name="_Toc518671699"/>
      <w:bookmarkStart w:id="6" w:name="_Toc518672773"/>
      <w:r w:rsidRPr="00BB70C4">
        <w:lastRenderedPageBreak/>
        <w:t>REMERCIEMENTS :</w:t>
      </w:r>
      <w:bookmarkEnd w:id="5"/>
      <w:bookmarkEnd w:id="6"/>
    </w:p>
    <w:p w:rsidR="001E7CC1" w:rsidRPr="001E7CC1" w:rsidRDefault="001E7CC1" w:rsidP="001E7CC1"/>
    <w:p w:rsidR="00884DAE" w:rsidRDefault="00884DAE" w:rsidP="00884D17">
      <w:pPr>
        <w:jc w:val="both"/>
        <w:rPr>
          <w:rFonts w:ascii="Times New Roman" w:hAnsi="Times New Roman" w:cs="Times New Roman"/>
          <w:sz w:val="24"/>
          <w:szCs w:val="24"/>
        </w:rPr>
      </w:pPr>
      <w:r w:rsidRPr="00884D17">
        <w:rPr>
          <w:rFonts w:ascii="Times New Roman" w:hAnsi="Times New Roman" w:cs="Times New Roman"/>
          <w:sz w:val="24"/>
          <w:szCs w:val="24"/>
        </w:rPr>
        <w:t>A l’issue de cette étude, nous tenons à exprimer notre profonde reconnaissance et notre gratitude à</w:t>
      </w:r>
      <w:r w:rsidR="00975A07">
        <w:rPr>
          <w:rFonts w:ascii="Times New Roman" w:hAnsi="Times New Roman" w:cs="Times New Roman"/>
          <w:sz w:val="24"/>
          <w:szCs w:val="24"/>
        </w:rPr>
        <w:t xml:space="preserve"> tous ceux qui nous ont soutenu</w:t>
      </w:r>
      <w:r w:rsidRPr="00884D17">
        <w:rPr>
          <w:rFonts w:ascii="Times New Roman" w:hAnsi="Times New Roman" w:cs="Times New Roman"/>
          <w:sz w:val="24"/>
          <w:szCs w:val="24"/>
        </w:rPr>
        <w:t xml:space="preserve"> de près ou de loin tout au long de cette aventure.</w:t>
      </w:r>
      <w:r w:rsidR="00884D17" w:rsidRPr="00884D17">
        <w:rPr>
          <w:rFonts w:ascii="Times New Roman" w:hAnsi="Times New Roman" w:cs="Times New Roman"/>
          <w:sz w:val="24"/>
          <w:szCs w:val="24"/>
        </w:rPr>
        <w:t xml:space="preserve"> Nos remerciements vont particulièrement :</w:t>
      </w:r>
    </w:p>
    <w:p w:rsidR="00884D17" w:rsidRDefault="00884D17" w:rsidP="00884D17">
      <w:pPr>
        <w:pStyle w:val="Paragraphedeliste"/>
        <w:numPr>
          <w:ilvl w:val="0"/>
          <w:numId w:val="48"/>
        </w:numPr>
        <w:jc w:val="both"/>
        <w:rPr>
          <w:rFonts w:ascii="Times New Roman" w:hAnsi="Times New Roman" w:cs="Times New Roman"/>
          <w:sz w:val="24"/>
          <w:szCs w:val="24"/>
        </w:rPr>
      </w:pPr>
      <w:r>
        <w:rPr>
          <w:rFonts w:ascii="Times New Roman" w:hAnsi="Times New Roman" w:cs="Times New Roman"/>
          <w:sz w:val="24"/>
          <w:szCs w:val="24"/>
        </w:rPr>
        <w:t xml:space="preserve">Au Docteure Valérie Edwige SOMA/KABORE, notre directrice de mémoire, pour son encadrement rigoureux et son soutien documentaire qui nous ont permis de réaliser cette œuvre. Nous lui témoignons notre profonde gratitude pour ses qualités humaines de patience, d’écoute et de compréhension, pour sa disponibilité toujours renouvelée à notre demande, malgré ses multiples responsabilités. Nous avons </w:t>
      </w:r>
      <w:r w:rsidR="00073504">
        <w:rPr>
          <w:rFonts w:ascii="Times New Roman" w:hAnsi="Times New Roman" w:cs="Times New Roman"/>
          <w:sz w:val="24"/>
          <w:szCs w:val="24"/>
        </w:rPr>
        <w:t xml:space="preserve">énormément appris à ses côtés et ce fut un honneur de l’avoir eu comme directrice de mémoire. Merci infiniment ; </w:t>
      </w:r>
    </w:p>
    <w:p w:rsidR="00073504" w:rsidRDefault="000960BA" w:rsidP="00884D17">
      <w:pPr>
        <w:pStyle w:val="Paragraphedeliste"/>
        <w:numPr>
          <w:ilvl w:val="0"/>
          <w:numId w:val="48"/>
        </w:numPr>
        <w:jc w:val="both"/>
        <w:rPr>
          <w:rFonts w:ascii="Times New Roman" w:hAnsi="Times New Roman" w:cs="Times New Roman"/>
          <w:sz w:val="24"/>
          <w:szCs w:val="24"/>
        </w:rPr>
      </w:pPr>
      <w:r>
        <w:rPr>
          <w:rFonts w:ascii="Times New Roman" w:hAnsi="Times New Roman" w:cs="Times New Roman"/>
          <w:sz w:val="24"/>
          <w:szCs w:val="24"/>
        </w:rPr>
        <w:t>Au Docteur Vincent ZAKANE pour ses conseils précieux lors du choix du sujet ;</w:t>
      </w:r>
    </w:p>
    <w:p w:rsidR="000960BA" w:rsidRDefault="000960BA" w:rsidP="00884D17">
      <w:pPr>
        <w:pStyle w:val="Paragraphedeliste"/>
        <w:numPr>
          <w:ilvl w:val="0"/>
          <w:numId w:val="48"/>
        </w:numPr>
        <w:jc w:val="both"/>
        <w:rPr>
          <w:rFonts w:ascii="Times New Roman" w:hAnsi="Times New Roman" w:cs="Times New Roman"/>
          <w:sz w:val="24"/>
          <w:szCs w:val="24"/>
        </w:rPr>
      </w:pPr>
      <w:r>
        <w:rPr>
          <w:rFonts w:ascii="Times New Roman" w:hAnsi="Times New Roman" w:cs="Times New Roman"/>
          <w:sz w:val="24"/>
          <w:szCs w:val="24"/>
        </w:rPr>
        <w:t>A l’ensemble du corps professoral de l’UFR/SJP pour la formation de qualité que nous avons reçue tout au long du Master ;</w:t>
      </w:r>
    </w:p>
    <w:p w:rsidR="00230BA6" w:rsidRDefault="00230BA6" w:rsidP="00884D17">
      <w:pPr>
        <w:pStyle w:val="Paragraphedeliste"/>
        <w:numPr>
          <w:ilvl w:val="0"/>
          <w:numId w:val="48"/>
        </w:numPr>
        <w:jc w:val="both"/>
        <w:rPr>
          <w:rFonts w:ascii="Times New Roman" w:hAnsi="Times New Roman" w:cs="Times New Roman"/>
          <w:sz w:val="24"/>
          <w:szCs w:val="24"/>
        </w:rPr>
      </w:pPr>
      <w:r>
        <w:rPr>
          <w:rFonts w:ascii="Times New Roman" w:hAnsi="Times New Roman" w:cs="Times New Roman"/>
          <w:sz w:val="24"/>
          <w:szCs w:val="24"/>
        </w:rPr>
        <w:t>A l’ensemble du corps professoral du département de droit de l’Université de Tahoua</w:t>
      </w:r>
      <w:r w:rsidR="004F22A1">
        <w:rPr>
          <w:rFonts w:ascii="Times New Roman" w:hAnsi="Times New Roman" w:cs="Times New Roman"/>
          <w:sz w:val="24"/>
          <w:szCs w:val="24"/>
        </w:rPr>
        <w:t xml:space="preserve"> (Niger)</w:t>
      </w:r>
      <w:r>
        <w:rPr>
          <w:rFonts w:ascii="Times New Roman" w:hAnsi="Times New Roman" w:cs="Times New Roman"/>
          <w:sz w:val="24"/>
          <w:szCs w:val="24"/>
        </w:rPr>
        <w:t xml:space="preserve"> pour la formation de base ;</w:t>
      </w:r>
    </w:p>
    <w:p w:rsidR="000960BA" w:rsidRDefault="000960BA" w:rsidP="00884D17">
      <w:pPr>
        <w:pStyle w:val="Paragraphedeliste"/>
        <w:numPr>
          <w:ilvl w:val="0"/>
          <w:numId w:val="48"/>
        </w:numPr>
        <w:jc w:val="both"/>
        <w:rPr>
          <w:rFonts w:ascii="Times New Roman" w:hAnsi="Times New Roman" w:cs="Times New Roman"/>
          <w:sz w:val="24"/>
          <w:szCs w:val="24"/>
        </w:rPr>
      </w:pPr>
      <w:r>
        <w:rPr>
          <w:rFonts w:ascii="Times New Roman" w:hAnsi="Times New Roman" w:cs="Times New Roman"/>
          <w:sz w:val="24"/>
          <w:szCs w:val="24"/>
        </w:rPr>
        <w:t>A Monsieur Laouali AMADOU, doctorant à l’Université de Tahoua, pour ses sages conseils ;</w:t>
      </w:r>
    </w:p>
    <w:p w:rsidR="000960BA" w:rsidRDefault="000960BA" w:rsidP="00884D17">
      <w:pPr>
        <w:pStyle w:val="Paragraphedeliste"/>
        <w:numPr>
          <w:ilvl w:val="0"/>
          <w:numId w:val="48"/>
        </w:numPr>
        <w:jc w:val="both"/>
        <w:rPr>
          <w:rFonts w:ascii="Times New Roman" w:hAnsi="Times New Roman" w:cs="Times New Roman"/>
          <w:sz w:val="24"/>
          <w:szCs w:val="24"/>
        </w:rPr>
      </w:pPr>
      <w:r>
        <w:rPr>
          <w:rFonts w:ascii="Times New Roman" w:hAnsi="Times New Roman" w:cs="Times New Roman"/>
          <w:sz w:val="24"/>
          <w:szCs w:val="24"/>
        </w:rPr>
        <w:t>A nos parents et toute notre famille pour leur soutien indéfectible ;</w:t>
      </w:r>
    </w:p>
    <w:p w:rsidR="000960BA" w:rsidRDefault="000960BA" w:rsidP="00884D17">
      <w:pPr>
        <w:pStyle w:val="Paragraphedeliste"/>
        <w:numPr>
          <w:ilvl w:val="0"/>
          <w:numId w:val="48"/>
        </w:numPr>
        <w:jc w:val="both"/>
        <w:rPr>
          <w:rFonts w:ascii="Times New Roman" w:hAnsi="Times New Roman" w:cs="Times New Roman"/>
          <w:sz w:val="24"/>
          <w:szCs w:val="24"/>
        </w:rPr>
      </w:pPr>
      <w:r>
        <w:rPr>
          <w:rFonts w:ascii="Times New Roman" w:hAnsi="Times New Roman" w:cs="Times New Roman"/>
          <w:sz w:val="24"/>
          <w:szCs w:val="24"/>
        </w:rPr>
        <w:t>Mention spéciale à mon petit frère ISSAKA OUSMANE Aminou pour son dévouement et sa précieuse contribution financière à la réalisation de ce travail ;</w:t>
      </w:r>
    </w:p>
    <w:p w:rsidR="000960BA" w:rsidRDefault="000960BA" w:rsidP="00884D17">
      <w:pPr>
        <w:pStyle w:val="Paragraphedeliste"/>
        <w:numPr>
          <w:ilvl w:val="0"/>
          <w:numId w:val="48"/>
        </w:numPr>
        <w:jc w:val="both"/>
        <w:rPr>
          <w:rFonts w:ascii="Times New Roman" w:hAnsi="Times New Roman" w:cs="Times New Roman"/>
          <w:sz w:val="24"/>
          <w:szCs w:val="24"/>
        </w:rPr>
      </w:pPr>
      <w:r>
        <w:rPr>
          <w:rFonts w:ascii="Times New Roman" w:hAnsi="Times New Roman" w:cs="Times New Roman"/>
          <w:sz w:val="24"/>
          <w:szCs w:val="24"/>
        </w:rPr>
        <w:t>A mon frère et ami</w:t>
      </w:r>
      <w:r w:rsidR="00E052C6">
        <w:rPr>
          <w:rFonts w:ascii="Times New Roman" w:hAnsi="Times New Roman" w:cs="Times New Roman"/>
          <w:sz w:val="24"/>
          <w:szCs w:val="24"/>
        </w:rPr>
        <w:t xml:space="preserve"> ABDOU ILLIASSOU Sani pour ses conseils, son soutien moral et financier ;</w:t>
      </w:r>
    </w:p>
    <w:p w:rsidR="002C2B4A" w:rsidRDefault="002C2B4A" w:rsidP="00884D17">
      <w:pPr>
        <w:pStyle w:val="Paragraphedeliste"/>
        <w:numPr>
          <w:ilvl w:val="0"/>
          <w:numId w:val="48"/>
        </w:numPr>
        <w:jc w:val="both"/>
        <w:rPr>
          <w:rFonts w:ascii="Times New Roman" w:hAnsi="Times New Roman" w:cs="Times New Roman"/>
          <w:sz w:val="24"/>
          <w:szCs w:val="24"/>
        </w:rPr>
      </w:pPr>
      <w:r>
        <w:rPr>
          <w:rFonts w:ascii="Times New Roman" w:hAnsi="Times New Roman" w:cs="Times New Roman"/>
          <w:sz w:val="24"/>
          <w:szCs w:val="24"/>
        </w:rPr>
        <w:t xml:space="preserve">A </w:t>
      </w:r>
      <w:r w:rsidR="00495B2C">
        <w:rPr>
          <w:rFonts w:ascii="Times New Roman" w:hAnsi="Times New Roman" w:cs="Times New Roman"/>
          <w:sz w:val="24"/>
          <w:szCs w:val="24"/>
        </w:rPr>
        <w:t xml:space="preserve">mon ami </w:t>
      </w:r>
      <w:r>
        <w:rPr>
          <w:rFonts w:ascii="Times New Roman" w:hAnsi="Times New Roman" w:cs="Times New Roman"/>
          <w:sz w:val="24"/>
          <w:szCs w:val="24"/>
        </w:rPr>
        <w:t>ABASS ISSA Abdoul Rachid pour son soutien moral et financier ;</w:t>
      </w:r>
    </w:p>
    <w:p w:rsidR="00E052C6" w:rsidRDefault="00E052C6" w:rsidP="00884D17">
      <w:pPr>
        <w:pStyle w:val="Paragraphedeliste"/>
        <w:numPr>
          <w:ilvl w:val="0"/>
          <w:numId w:val="48"/>
        </w:numPr>
        <w:jc w:val="both"/>
        <w:rPr>
          <w:rFonts w:ascii="Times New Roman" w:hAnsi="Times New Roman" w:cs="Times New Roman"/>
          <w:sz w:val="24"/>
          <w:szCs w:val="24"/>
        </w:rPr>
      </w:pPr>
      <w:r>
        <w:rPr>
          <w:rFonts w:ascii="Times New Roman" w:hAnsi="Times New Roman" w:cs="Times New Roman"/>
          <w:sz w:val="24"/>
          <w:szCs w:val="24"/>
        </w:rPr>
        <w:t xml:space="preserve">A </w:t>
      </w:r>
      <w:r w:rsidR="002371A6">
        <w:rPr>
          <w:rFonts w:ascii="Times New Roman" w:hAnsi="Times New Roman" w:cs="Times New Roman"/>
          <w:sz w:val="24"/>
          <w:szCs w:val="24"/>
        </w:rPr>
        <w:t xml:space="preserve">mes ainés et amis </w:t>
      </w:r>
      <w:r>
        <w:rPr>
          <w:rFonts w:ascii="Times New Roman" w:hAnsi="Times New Roman" w:cs="Times New Roman"/>
          <w:sz w:val="24"/>
          <w:szCs w:val="24"/>
        </w:rPr>
        <w:t>CHAIBOU SOULEY Maman Bachare</w:t>
      </w:r>
      <w:r w:rsidR="002E6E5D">
        <w:rPr>
          <w:rFonts w:ascii="Times New Roman" w:hAnsi="Times New Roman" w:cs="Times New Roman"/>
          <w:sz w:val="24"/>
          <w:szCs w:val="24"/>
        </w:rPr>
        <w:t xml:space="preserve">, BOUBACAR ADAMOU Souleymane, </w:t>
      </w:r>
      <w:r>
        <w:rPr>
          <w:rFonts w:ascii="Times New Roman" w:hAnsi="Times New Roman" w:cs="Times New Roman"/>
          <w:sz w:val="24"/>
          <w:szCs w:val="24"/>
        </w:rPr>
        <w:t>ADAMOU DAN LADI Abdoul Nasser</w:t>
      </w:r>
      <w:r w:rsidR="00092A41">
        <w:rPr>
          <w:rFonts w:ascii="Times New Roman" w:hAnsi="Times New Roman" w:cs="Times New Roman"/>
          <w:sz w:val="24"/>
          <w:szCs w:val="24"/>
        </w:rPr>
        <w:t>, DAOUDA BAOUA Ibrahim</w:t>
      </w:r>
      <w:r>
        <w:rPr>
          <w:rFonts w:ascii="Times New Roman" w:hAnsi="Times New Roman" w:cs="Times New Roman"/>
          <w:sz w:val="24"/>
          <w:szCs w:val="24"/>
        </w:rPr>
        <w:t xml:space="preserve"> et OUSMANE MAHAMANE Boubacar pour leurs soutiens inestimables, leurs précieux conseils et leurs appuis indéfectibles au perfectionnement de ce travail ;</w:t>
      </w:r>
    </w:p>
    <w:p w:rsidR="00E5075B" w:rsidRDefault="00E5075B" w:rsidP="00884D17">
      <w:pPr>
        <w:pStyle w:val="Paragraphedeliste"/>
        <w:numPr>
          <w:ilvl w:val="0"/>
          <w:numId w:val="48"/>
        </w:numPr>
        <w:jc w:val="both"/>
        <w:rPr>
          <w:rFonts w:ascii="Times New Roman" w:hAnsi="Times New Roman" w:cs="Times New Roman"/>
          <w:sz w:val="24"/>
          <w:szCs w:val="24"/>
        </w:rPr>
      </w:pPr>
      <w:r>
        <w:rPr>
          <w:rFonts w:ascii="Times New Roman" w:hAnsi="Times New Roman" w:cs="Times New Roman"/>
          <w:sz w:val="24"/>
          <w:szCs w:val="24"/>
        </w:rPr>
        <w:t xml:space="preserve">A </w:t>
      </w:r>
      <w:r w:rsidR="00C040DD">
        <w:rPr>
          <w:rFonts w:ascii="Times New Roman" w:hAnsi="Times New Roman" w:cs="Times New Roman"/>
          <w:sz w:val="24"/>
          <w:szCs w:val="24"/>
        </w:rPr>
        <w:t xml:space="preserve">mes amis </w:t>
      </w:r>
      <w:r>
        <w:rPr>
          <w:rFonts w:ascii="Times New Roman" w:hAnsi="Times New Roman" w:cs="Times New Roman"/>
          <w:sz w:val="24"/>
          <w:szCs w:val="24"/>
        </w:rPr>
        <w:t>YACOUBA DOKI Maman Binia</w:t>
      </w:r>
      <w:r w:rsidR="00C040DD">
        <w:rPr>
          <w:rFonts w:ascii="Times New Roman" w:hAnsi="Times New Roman" w:cs="Times New Roman"/>
          <w:sz w:val="24"/>
          <w:szCs w:val="24"/>
        </w:rPr>
        <w:t>, SANI AMANI AMADOU Roufai et DAN BABA SANKE Sadissou pour leur</w:t>
      </w:r>
      <w:r>
        <w:rPr>
          <w:rFonts w:ascii="Times New Roman" w:hAnsi="Times New Roman" w:cs="Times New Roman"/>
          <w:sz w:val="24"/>
          <w:szCs w:val="24"/>
        </w:rPr>
        <w:t xml:space="preserve"> soutien moral et financier ;</w:t>
      </w:r>
    </w:p>
    <w:p w:rsidR="00E052C6" w:rsidRDefault="001C44C3" w:rsidP="006C0FDF">
      <w:pPr>
        <w:pStyle w:val="Paragraphedeliste"/>
        <w:numPr>
          <w:ilvl w:val="0"/>
          <w:numId w:val="48"/>
        </w:numPr>
        <w:jc w:val="both"/>
        <w:rPr>
          <w:rFonts w:ascii="Times New Roman" w:hAnsi="Times New Roman" w:cs="Times New Roman"/>
          <w:sz w:val="24"/>
          <w:szCs w:val="24"/>
        </w:rPr>
      </w:pPr>
      <w:r>
        <w:rPr>
          <w:rFonts w:ascii="Times New Roman" w:hAnsi="Times New Roman" w:cs="Times New Roman"/>
          <w:sz w:val="24"/>
          <w:szCs w:val="24"/>
        </w:rPr>
        <w:t xml:space="preserve">A MOUSTAPHA MOMINE </w:t>
      </w:r>
      <w:r w:rsidR="006C0FDF">
        <w:rPr>
          <w:rFonts w:ascii="Times New Roman" w:hAnsi="Times New Roman" w:cs="Times New Roman"/>
          <w:sz w:val="24"/>
          <w:szCs w:val="24"/>
        </w:rPr>
        <w:t xml:space="preserve">Abdoul Kader </w:t>
      </w:r>
      <w:r>
        <w:rPr>
          <w:rFonts w:ascii="Times New Roman" w:hAnsi="Times New Roman" w:cs="Times New Roman"/>
          <w:sz w:val="24"/>
          <w:szCs w:val="24"/>
        </w:rPr>
        <w:t>pour sa compagnie technique à la réalisation de ce travail ;</w:t>
      </w:r>
    </w:p>
    <w:p w:rsidR="001C44C3" w:rsidRDefault="001C44C3" w:rsidP="00110C95">
      <w:pPr>
        <w:pStyle w:val="Paragraphedeliste"/>
        <w:numPr>
          <w:ilvl w:val="0"/>
          <w:numId w:val="48"/>
        </w:numPr>
        <w:jc w:val="both"/>
        <w:rPr>
          <w:rFonts w:ascii="Times New Roman" w:hAnsi="Times New Roman" w:cs="Times New Roman"/>
          <w:sz w:val="24"/>
          <w:szCs w:val="24"/>
        </w:rPr>
      </w:pPr>
      <w:r>
        <w:rPr>
          <w:rFonts w:ascii="Times New Roman" w:hAnsi="Times New Roman" w:cs="Times New Roman"/>
          <w:sz w:val="24"/>
          <w:szCs w:val="24"/>
        </w:rPr>
        <w:t xml:space="preserve">A </w:t>
      </w:r>
      <w:r w:rsidR="00110C95" w:rsidRPr="00110C95">
        <w:rPr>
          <w:rFonts w:ascii="Times New Roman" w:hAnsi="Times New Roman" w:cs="Times New Roman"/>
          <w:sz w:val="24"/>
          <w:szCs w:val="24"/>
        </w:rPr>
        <w:t>SAIDOU WAROU Souleymane</w:t>
      </w:r>
      <w:r w:rsidR="00110C95">
        <w:rPr>
          <w:rFonts w:ascii="Times New Roman" w:hAnsi="Times New Roman" w:cs="Times New Roman"/>
          <w:sz w:val="24"/>
          <w:szCs w:val="24"/>
        </w:rPr>
        <w:t xml:space="preserve">, </w:t>
      </w:r>
      <w:r>
        <w:rPr>
          <w:rFonts w:ascii="Times New Roman" w:hAnsi="Times New Roman" w:cs="Times New Roman"/>
          <w:sz w:val="24"/>
          <w:szCs w:val="24"/>
        </w:rPr>
        <w:t>MOUSSA OUGOU Aboub</w:t>
      </w:r>
      <w:r w:rsidR="000A075D">
        <w:rPr>
          <w:rFonts w:ascii="Times New Roman" w:hAnsi="Times New Roman" w:cs="Times New Roman"/>
          <w:sz w:val="24"/>
          <w:szCs w:val="24"/>
        </w:rPr>
        <w:t xml:space="preserve">acar, GARBA DAN KOUCHE Sahalou, </w:t>
      </w:r>
      <w:r w:rsidR="0098115B">
        <w:rPr>
          <w:rFonts w:ascii="Times New Roman" w:hAnsi="Times New Roman" w:cs="Times New Roman"/>
          <w:sz w:val="24"/>
          <w:szCs w:val="24"/>
        </w:rPr>
        <w:t xml:space="preserve">MATY ANGO Ali et </w:t>
      </w:r>
      <w:r>
        <w:rPr>
          <w:rFonts w:ascii="Times New Roman" w:hAnsi="Times New Roman" w:cs="Times New Roman"/>
          <w:sz w:val="24"/>
          <w:szCs w:val="24"/>
        </w:rPr>
        <w:t>ADAM M</w:t>
      </w:r>
      <w:r w:rsidR="008B2CB2">
        <w:rPr>
          <w:rFonts w:ascii="Times New Roman" w:hAnsi="Times New Roman" w:cs="Times New Roman"/>
          <w:sz w:val="24"/>
          <w:szCs w:val="24"/>
        </w:rPr>
        <w:t>ALAM</w:t>
      </w:r>
      <w:r>
        <w:rPr>
          <w:rFonts w:ascii="Times New Roman" w:hAnsi="Times New Roman" w:cs="Times New Roman"/>
          <w:sz w:val="24"/>
          <w:szCs w:val="24"/>
        </w:rPr>
        <w:t xml:space="preserve"> D</w:t>
      </w:r>
      <w:r w:rsidR="008B2CB2">
        <w:rPr>
          <w:rFonts w:ascii="Times New Roman" w:hAnsi="Times New Roman" w:cs="Times New Roman"/>
          <w:sz w:val="24"/>
          <w:szCs w:val="24"/>
        </w:rPr>
        <w:t>ALA</w:t>
      </w:r>
      <w:r>
        <w:rPr>
          <w:rFonts w:ascii="Times New Roman" w:hAnsi="Times New Roman" w:cs="Times New Roman"/>
          <w:sz w:val="24"/>
          <w:szCs w:val="24"/>
        </w:rPr>
        <w:t xml:space="preserve"> Ibrahim, pour leur collaboration à la correction des fautes de ce travail ;</w:t>
      </w:r>
    </w:p>
    <w:p w:rsidR="001C44C3" w:rsidRDefault="001C44C3" w:rsidP="00884D17">
      <w:pPr>
        <w:pStyle w:val="Paragraphedeliste"/>
        <w:numPr>
          <w:ilvl w:val="0"/>
          <w:numId w:val="48"/>
        </w:numPr>
        <w:jc w:val="both"/>
        <w:rPr>
          <w:rFonts w:ascii="Times New Roman" w:hAnsi="Times New Roman" w:cs="Times New Roman"/>
          <w:sz w:val="24"/>
          <w:szCs w:val="24"/>
        </w:rPr>
      </w:pPr>
      <w:r>
        <w:rPr>
          <w:rFonts w:ascii="Times New Roman" w:hAnsi="Times New Roman" w:cs="Times New Roman"/>
          <w:sz w:val="24"/>
          <w:szCs w:val="24"/>
        </w:rPr>
        <w:t>A tous mes Camarades de la troisième promotion de Master II/DIP (2016-2017) de l’Université Ouaga II pour leur collaboration ;</w:t>
      </w:r>
    </w:p>
    <w:p w:rsidR="007B6C1F" w:rsidRPr="00884D17" w:rsidRDefault="007B6C1F" w:rsidP="00884D17">
      <w:pPr>
        <w:pStyle w:val="Paragraphedeliste"/>
        <w:numPr>
          <w:ilvl w:val="0"/>
          <w:numId w:val="48"/>
        </w:numPr>
        <w:jc w:val="both"/>
        <w:rPr>
          <w:rFonts w:ascii="Times New Roman" w:hAnsi="Times New Roman" w:cs="Times New Roman"/>
          <w:sz w:val="24"/>
          <w:szCs w:val="24"/>
        </w:rPr>
      </w:pPr>
      <w:r>
        <w:rPr>
          <w:rFonts w:ascii="Times New Roman" w:hAnsi="Times New Roman" w:cs="Times New Roman"/>
          <w:sz w:val="24"/>
          <w:szCs w:val="24"/>
        </w:rPr>
        <w:t>A tous ceux qui ont de quelque façon que ce soit contribué à la réalisation de ce travail ;</w:t>
      </w:r>
    </w:p>
    <w:p w:rsidR="006C5727" w:rsidRDefault="00BB70C4" w:rsidP="00414AB8">
      <w:pPr>
        <w:pStyle w:val="Titre1"/>
      </w:pPr>
      <w:bookmarkStart w:id="7" w:name="_Toc518671700"/>
      <w:bookmarkStart w:id="8" w:name="_Toc518672774"/>
      <w:r w:rsidRPr="00BB70C4">
        <w:lastRenderedPageBreak/>
        <w:t>LISTE DES SIGLES, A</w:t>
      </w:r>
      <w:r>
        <w:t>B</w:t>
      </w:r>
      <w:r w:rsidRPr="00BB70C4">
        <w:t>REVIATIONS ET ACRONYMES :</w:t>
      </w:r>
      <w:bookmarkEnd w:id="7"/>
      <w:bookmarkEnd w:id="8"/>
    </w:p>
    <w:p w:rsidR="00026098" w:rsidRPr="00026098" w:rsidRDefault="00026098" w:rsidP="00561E36">
      <w:pPr>
        <w:rPr>
          <w:rFonts w:ascii="Times New Roman" w:hAnsi="Times New Roman" w:cs="Times New Roman"/>
        </w:rPr>
      </w:pPr>
    </w:p>
    <w:p w:rsidR="00026098" w:rsidRPr="00FD1FE8" w:rsidRDefault="00026098" w:rsidP="00FD1FE8">
      <w:pPr>
        <w:jc w:val="both"/>
        <w:rPr>
          <w:rFonts w:ascii="Times New Roman" w:hAnsi="Times New Roman" w:cs="Times New Roman"/>
          <w:sz w:val="24"/>
          <w:szCs w:val="24"/>
        </w:rPr>
      </w:pPr>
      <w:r w:rsidRPr="004141E2">
        <w:rPr>
          <w:rFonts w:ascii="Times New Roman" w:hAnsi="Times New Roman" w:cs="Times New Roman"/>
          <w:b/>
          <w:sz w:val="24"/>
          <w:szCs w:val="24"/>
        </w:rPr>
        <w:t>§</w:t>
      </w:r>
      <w:r w:rsidRPr="00FD1FE8">
        <w:rPr>
          <w:rFonts w:ascii="Times New Roman" w:hAnsi="Times New Roman" w:cs="Times New Roman"/>
          <w:sz w:val="24"/>
          <w:szCs w:val="24"/>
        </w:rPr>
        <w:t> </w:t>
      </w:r>
      <w:r w:rsidRPr="004141E2">
        <w:rPr>
          <w:rFonts w:ascii="Times New Roman" w:hAnsi="Times New Roman" w:cs="Times New Roman"/>
          <w:b/>
          <w:sz w:val="24"/>
          <w:szCs w:val="24"/>
        </w:rPr>
        <w:t>:</w:t>
      </w:r>
      <w:r w:rsidRPr="00FD1FE8">
        <w:rPr>
          <w:rFonts w:ascii="Times New Roman" w:hAnsi="Times New Roman" w:cs="Times New Roman"/>
          <w:sz w:val="24"/>
          <w:szCs w:val="24"/>
        </w:rPr>
        <w:t>Paragraphe</w:t>
      </w:r>
    </w:p>
    <w:p w:rsidR="00026098" w:rsidRPr="00FD1FE8" w:rsidRDefault="00026098" w:rsidP="00FD1FE8">
      <w:pPr>
        <w:jc w:val="both"/>
        <w:rPr>
          <w:rFonts w:ascii="Times New Roman" w:hAnsi="Times New Roman" w:cs="Times New Roman"/>
          <w:sz w:val="24"/>
          <w:szCs w:val="24"/>
        </w:rPr>
      </w:pPr>
      <w:r w:rsidRPr="004141E2">
        <w:rPr>
          <w:rFonts w:ascii="Times New Roman" w:hAnsi="Times New Roman" w:cs="Times New Roman"/>
          <w:b/>
          <w:sz w:val="24"/>
          <w:szCs w:val="24"/>
        </w:rPr>
        <w:t>§§ :</w:t>
      </w:r>
      <w:r w:rsidRPr="00FD1FE8">
        <w:rPr>
          <w:rFonts w:ascii="Times New Roman" w:hAnsi="Times New Roman" w:cs="Times New Roman"/>
          <w:sz w:val="24"/>
          <w:szCs w:val="24"/>
        </w:rPr>
        <w:t>Paragraphes</w:t>
      </w:r>
    </w:p>
    <w:p w:rsidR="00026098" w:rsidRPr="00FD1FE8" w:rsidRDefault="009D0779" w:rsidP="00FD1FE8">
      <w:pPr>
        <w:jc w:val="both"/>
        <w:rPr>
          <w:rFonts w:ascii="Times New Roman" w:hAnsi="Times New Roman" w:cs="Times New Roman"/>
          <w:sz w:val="24"/>
          <w:szCs w:val="24"/>
        </w:rPr>
      </w:pPr>
      <w:r w:rsidRPr="004141E2">
        <w:rPr>
          <w:rFonts w:ascii="Times New Roman" w:hAnsi="Times New Roman" w:cs="Times New Roman"/>
          <w:b/>
          <w:sz w:val="24"/>
          <w:szCs w:val="24"/>
        </w:rPr>
        <w:t>Aff.</w:t>
      </w:r>
      <w:r w:rsidR="00026098" w:rsidRPr="00FD1FE8">
        <w:rPr>
          <w:rFonts w:ascii="Times New Roman" w:hAnsi="Times New Roman" w:cs="Times New Roman"/>
          <w:sz w:val="24"/>
          <w:szCs w:val="24"/>
        </w:rPr>
        <w:t> : Affaire</w:t>
      </w:r>
    </w:p>
    <w:p w:rsidR="00026098" w:rsidRPr="00FD1FE8" w:rsidRDefault="00026098" w:rsidP="00FD1FE8">
      <w:pPr>
        <w:jc w:val="both"/>
        <w:rPr>
          <w:rFonts w:ascii="Times New Roman" w:hAnsi="Times New Roman" w:cs="Times New Roman"/>
          <w:sz w:val="24"/>
          <w:szCs w:val="24"/>
        </w:rPr>
      </w:pPr>
      <w:r w:rsidRPr="004141E2">
        <w:rPr>
          <w:rFonts w:ascii="Times New Roman" w:hAnsi="Times New Roman" w:cs="Times New Roman"/>
          <w:b/>
          <w:sz w:val="24"/>
          <w:szCs w:val="24"/>
        </w:rPr>
        <w:t>AJDA :</w:t>
      </w:r>
      <w:r w:rsidRPr="00FD1FE8">
        <w:rPr>
          <w:rFonts w:ascii="Times New Roman" w:hAnsi="Times New Roman" w:cs="Times New Roman"/>
          <w:sz w:val="24"/>
          <w:szCs w:val="24"/>
        </w:rPr>
        <w:t>Actualité juridique du droit administratif</w:t>
      </w:r>
    </w:p>
    <w:p w:rsidR="00026098" w:rsidRPr="00FD1FE8" w:rsidRDefault="00026098" w:rsidP="00FD1FE8">
      <w:pPr>
        <w:jc w:val="both"/>
        <w:rPr>
          <w:rFonts w:ascii="Times New Roman" w:hAnsi="Times New Roman" w:cs="Times New Roman"/>
          <w:sz w:val="24"/>
          <w:szCs w:val="24"/>
        </w:rPr>
      </w:pPr>
      <w:r w:rsidRPr="004141E2">
        <w:rPr>
          <w:rFonts w:ascii="Times New Roman" w:hAnsi="Times New Roman" w:cs="Times New Roman"/>
          <w:b/>
          <w:sz w:val="24"/>
          <w:szCs w:val="24"/>
        </w:rPr>
        <w:t>Al. :</w:t>
      </w:r>
      <w:r w:rsidRPr="00FD1FE8">
        <w:rPr>
          <w:rFonts w:ascii="Times New Roman" w:hAnsi="Times New Roman" w:cs="Times New Roman"/>
          <w:sz w:val="24"/>
          <w:szCs w:val="24"/>
        </w:rPr>
        <w:t>Alinéa</w:t>
      </w:r>
    </w:p>
    <w:p w:rsidR="00026098" w:rsidRPr="00FD1FE8" w:rsidRDefault="00026098" w:rsidP="00FD1FE8">
      <w:pPr>
        <w:jc w:val="both"/>
        <w:rPr>
          <w:rFonts w:ascii="Times New Roman" w:hAnsi="Times New Roman" w:cs="Times New Roman"/>
          <w:sz w:val="24"/>
          <w:szCs w:val="24"/>
        </w:rPr>
      </w:pPr>
      <w:r w:rsidRPr="004141E2">
        <w:rPr>
          <w:rFonts w:ascii="Times New Roman" w:hAnsi="Times New Roman" w:cs="Times New Roman"/>
          <w:b/>
          <w:sz w:val="24"/>
          <w:szCs w:val="24"/>
        </w:rPr>
        <w:t>Art. :</w:t>
      </w:r>
      <w:r w:rsidRPr="00FD1FE8">
        <w:rPr>
          <w:rFonts w:ascii="Times New Roman" w:hAnsi="Times New Roman" w:cs="Times New Roman"/>
          <w:sz w:val="24"/>
          <w:szCs w:val="24"/>
        </w:rPr>
        <w:t>Article</w:t>
      </w:r>
    </w:p>
    <w:p w:rsidR="00026098" w:rsidRPr="00FD1FE8" w:rsidRDefault="00026098" w:rsidP="00FD1FE8">
      <w:pPr>
        <w:jc w:val="both"/>
        <w:rPr>
          <w:rFonts w:ascii="Times New Roman" w:hAnsi="Times New Roman" w:cs="Times New Roman"/>
          <w:sz w:val="24"/>
          <w:szCs w:val="24"/>
        </w:rPr>
      </w:pPr>
      <w:r w:rsidRPr="004141E2">
        <w:rPr>
          <w:rFonts w:ascii="Times New Roman" w:hAnsi="Times New Roman" w:cs="Times New Roman"/>
          <w:b/>
          <w:sz w:val="24"/>
          <w:szCs w:val="24"/>
        </w:rPr>
        <w:t>Arts. :</w:t>
      </w:r>
      <w:r w:rsidRPr="00FD1FE8">
        <w:rPr>
          <w:rFonts w:ascii="Times New Roman" w:hAnsi="Times New Roman" w:cs="Times New Roman"/>
          <w:sz w:val="24"/>
          <w:szCs w:val="24"/>
        </w:rPr>
        <w:t>Articles</w:t>
      </w:r>
    </w:p>
    <w:p w:rsidR="00026098" w:rsidRPr="00FD1FE8" w:rsidRDefault="00026098" w:rsidP="00FD1FE8">
      <w:pPr>
        <w:jc w:val="both"/>
        <w:rPr>
          <w:rFonts w:ascii="Times New Roman" w:hAnsi="Times New Roman" w:cs="Times New Roman"/>
          <w:sz w:val="24"/>
          <w:szCs w:val="24"/>
        </w:rPr>
      </w:pPr>
      <w:r w:rsidRPr="004141E2">
        <w:rPr>
          <w:rFonts w:ascii="Times New Roman" w:hAnsi="Times New Roman" w:cs="Times New Roman"/>
          <w:b/>
          <w:sz w:val="24"/>
          <w:szCs w:val="24"/>
        </w:rPr>
        <w:t>CAJDH :</w:t>
      </w:r>
      <w:r w:rsidRPr="00FD1FE8">
        <w:rPr>
          <w:rFonts w:ascii="Times New Roman" w:hAnsi="Times New Roman" w:cs="Times New Roman"/>
          <w:sz w:val="24"/>
          <w:szCs w:val="24"/>
        </w:rPr>
        <w:t>Cour africaine de justice et des droits de l’homme</w:t>
      </w:r>
    </w:p>
    <w:p w:rsidR="00026098" w:rsidRPr="00FD1FE8" w:rsidRDefault="00026098" w:rsidP="00FD1FE8">
      <w:pPr>
        <w:jc w:val="both"/>
        <w:rPr>
          <w:rFonts w:ascii="Times New Roman" w:hAnsi="Times New Roman" w:cs="Times New Roman"/>
          <w:sz w:val="24"/>
          <w:szCs w:val="24"/>
        </w:rPr>
      </w:pPr>
      <w:r w:rsidRPr="004141E2">
        <w:rPr>
          <w:rFonts w:ascii="Times New Roman" w:hAnsi="Times New Roman" w:cs="Times New Roman"/>
          <w:b/>
          <w:sz w:val="24"/>
          <w:szCs w:val="24"/>
        </w:rPr>
        <w:t>CAMES :</w:t>
      </w:r>
      <w:r w:rsidRPr="00FD1FE8">
        <w:rPr>
          <w:rFonts w:ascii="Times New Roman" w:hAnsi="Times New Roman" w:cs="Times New Roman"/>
          <w:sz w:val="24"/>
          <w:szCs w:val="24"/>
        </w:rPr>
        <w:t>Conseil Africain et Malgache de l’Enseignement Supérieur</w:t>
      </w:r>
    </w:p>
    <w:p w:rsidR="00026098" w:rsidRPr="00FD1FE8" w:rsidRDefault="00026098" w:rsidP="00FD1FE8">
      <w:pPr>
        <w:jc w:val="both"/>
        <w:rPr>
          <w:rFonts w:ascii="Times New Roman" w:hAnsi="Times New Roman" w:cs="Times New Roman"/>
          <w:sz w:val="24"/>
          <w:szCs w:val="24"/>
        </w:rPr>
      </w:pPr>
      <w:r w:rsidRPr="004141E2">
        <w:rPr>
          <w:rFonts w:ascii="Times New Roman" w:hAnsi="Times New Roman" w:cs="Times New Roman"/>
          <w:b/>
          <w:sz w:val="24"/>
          <w:szCs w:val="24"/>
        </w:rPr>
        <w:t>CCEG :</w:t>
      </w:r>
      <w:r w:rsidRPr="00FD1FE8">
        <w:rPr>
          <w:rFonts w:ascii="Times New Roman" w:hAnsi="Times New Roman" w:cs="Times New Roman"/>
          <w:sz w:val="24"/>
          <w:szCs w:val="24"/>
        </w:rPr>
        <w:t>Conférence des Chefs d’Etats et de Gouvernement</w:t>
      </w:r>
    </w:p>
    <w:p w:rsidR="00026098" w:rsidRPr="00FD1FE8" w:rsidRDefault="00026098" w:rsidP="00FD1FE8">
      <w:pPr>
        <w:jc w:val="both"/>
        <w:rPr>
          <w:rFonts w:ascii="Times New Roman" w:hAnsi="Times New Roman" w:cs="Times New Roman"/>
          <w:sz w:val="24"/>
          <w:szCs w:val="24"/>
        </w:rPr>
      </w:pPr>
      <w:r w:rsidRPr="00A87F98">
        <w:rPr>
          <w:rFonts w:ascii="Times New Roman" w:hAnsi="Times New Roman" w:cs="Times New Roman"/>
          <w:b/>
          <w:sz w:val="24"/>
          <w:szCs w:val="24"/>
        </w:rPr>
        <w:t>CE :</w:t>
      </w:r>
      <w:r w:rsidRPr="00FD1FE8">
        <w:rPr>
          <w:rFonts w:ascii="Times New Roman" w:hAnsi="Times New Roman" w:cs="Times New Roman"/>
          <w:sz w:val="24"/>
          <w:szCs w:val="24"/>
        </w:rPr>
        <w:t>Communauté Européenne</w:t>
      </w:r>
    </w:p>
    <w:p w:rsidR="00026098" w:rsidRPr="00FD1FE8" w:rsidRDefault="00026098" w:rsidP="00FD1FE8">
      <w:pPr>
        <w:jc w:val="both"/>
        <w:rPr>
          <w:rFonts w:ascii="Times New Roman" w:hAnsi="Times New Roman" w:cs="Times New Roman"/>
          <w:sz w:val="24"/>
          <w:szCs w:val="24"/>
        </w:rPr>
      </w:pPr>
      <w:r w:rsidRPr="00A87F98">
        <w:rPr>
          <w:rFonts w:ascii="Times New Roman" w:hAnsi="Times New Roman" w:cs="Times New Roman"/>
          <w:b/>
          <w:sz w:val="24"/>
          <w:szCs w:val="24"/>
        </w:rPr>
        <w:t>CECA :</w:t>
      </w:r>
      <w:r w:rsidRPr="00FD1FE8">
        <w:rPr>
          <w:rFonts w:ascii="Times New Roman" w:hAnsi="Times New Roman" w:cs="Times New Roman"/>
          <w:sz w:val="24"/>
          <w:szCs w:val="24"/>
        </w:rPr>
        <w:t>Communauté Européenne du Charbon et de l’Acier</w:t>
      </w:r>
    </w:p>
    <w:p w:rsidR="00026098" w:rsidRPr="00FD1FE8" w:rsidRDefault="00026098" w:rsidP="00FD1FE8">
      <w:pPr>
        <w:jc w:val="both"/>
        <w:rPr>
          <w:rFonts w:ascii="Times New Roman" w:hAnsi="Times New Roman" w:cs="Times New Roman"/>
          <w:sz w:val="24"/>
          <w:szCs w:val="24"/>
        </w:rPr>
      </w:pPr>
      <w:r w:rsidRPr="00A87F98">
        <w:rPr>
          <w:rFonts w:ascii="Times New Roman" w:hAnsi="Times New Roman" w:cs="Times New Roman"/>
          <w:b/>
          <w:sz w:val="24"/>
          <w:szCs w:val="24"/>
        </w:rPr>
        <w:t>CEDEAO :</w:t>
      </w:r>
      <w:r w:rsidRPr="00FD1FE8">
        <w:rPr>
          <w:rFonts w:ascii="Times New Roman" w:hAnsi="Times New Roman" w:cs="Times New Roman"/>
          <w:sz w:val="24"/>
          <w:szCs w:val="24"/>
        </w:rPr>
        <w:t>Communauté Economique des Etats de l’Afrique de l’Ouest</w:t>
      </w:r>
    </w:p>
    <w:p w:rsidR="00026098" w:rsidRPr="00FD1FE8" w:rsidRDefault="00026098" w:rsidP="00FD1FE8">
      <w:pPr>
        <w:jc w:val="both"/>
        <w:rPr>
          <w:rFonts w:ascii="Times New Roman" w:hAnsi="Times New Roman" w:cs="Times New Roman"/>
          <w:sz w:val="24"/>
          <w:szCs w:val="24"/>
        </w:rPr>
      </w:pPr>
      <w:r w:rsidRPr="00A87F98">
        <w:rPr>
          <w:rFonts w:ascii="Times New Roman" w:hAnsi="Times New Roman" w:cs="Times New Roman"/>
          <w:b/>
          <w:sz w:val="24"/>
          <w:szCs w:val="24"/>
        </w:rPr>
        <w:t>CEE :</w:t>
      </w:r>
      <w:r w:rsidRPr="00FD1FE8">
        <w:rPr>
          <w:rFonts w:ascii="Times New Roman" w:hAnsi="Times New Roman" w:cs="Times New Roman"/>
          <w:sz w:val="24"/>
          <w:szCs w:val="24"/>
        </w:rPr>
        <w:t>Communauté Economique Européenne</w:t>
      </w:r>
    </w:p>
    <w:p w:rsidR="00026098" w:rsidRPr="00FD1FE8" w:rsidRDefault="00026098" w:rsidP="00FD1FE8">
      <w:pPr>
        <w:jc w:val="both"/>
        <w:rPr>
          <w:rFonts w:ascii="Times New Roman" w:hAnsi="Times New Roman" w:cs="Times New Roman"/>
          <w:sz w:val="24"/>
          <w:szCs w:val="24"/>
        </w:rPr>
      </w:pPr>
      <w:r w:rsidRPr="00A87F98">
        <w:rPr>
          <w:rFonts w:ascii="Times New Roman" w:hAnsi="Times New Roman" w:cs="Times New Roman"/>
          <w:b/>
          <w:sz w:val="24"/>
          <w:szCs w:val="24"/>
        </w:rPr>
        <w:t>CEEA :</w:t>
      </w:r>
      <w:r w:rsidRPr="00FD1FE8">
        <w:rPr>
          <w:rFonts w:ascii="Times New Roman" w:hAnsi="Times New Roman" w:cs="Times New Roman"/>
          <w:sz w:val="24"/>
          <w:szCs w:val="24"/>
        </w:rPr>
        <w:t>Communauté Européenne de l’Energie Atomique</w:t>
      </w:r>
    </w:p>
    <w:p w:rsidR="00026098" w:rsidRPr="00FD1FE8" w:rsidRDefault="00026098" w:rsidP="00FD1FE8">
      <w:pPr>
        <w:jc w:val="both"/>
        <w:rPr>
          <w:rFonts w:ascii="Times New Roman" w:hAnsi="Times New Roman" w:cs="Times New Roman"/>
          <w:sz w:val="24"/>
          <w:szCs w:val="24"/>
        </w:rPr>
      </w:pPr>
      <w:r w:rsidRPr="00A87F98">
        <w:rPr>
          <w:rFonts w:ascii="Times New Roman" w:hAnsi="Times New Roman" w:cs="Times New Roman"/>
          <w:b/>
          <w:sz w:val="24"/>
          <w:szCs w:val="24"/>
        </w:rPr>
        <w:t>CEMAC :</w:t>
      </w:r>
      <w:r w:rsidRPr="00FD1FE8">
        <w:rPr>
          <w:rFonts w:ascii="Times New Roman" w:hAnsi="Times New Roman" w:cs="Times New Roman"/>
          <w:sz w:val="24"/>
          <w:szCs w:val="24"/>
        </w:rPr>
        <w:t>Communauté Economique et Monétaire de l’Afrique Centrale</w:t>
      </w:r>
    </w:p>
    <w:p w:rsidR="00026098" w:rsidRPr="00FD1FE8" w:rsidRDefault="00026098" w:rsidP="00FD1FE8">
      <w:pPr>
        <w:jc w:val="both"/>
        <w:rPr>
          <w:rFonts w:ascii="Times New Roman" w:hAnsi="Times New Roman" w:cs="Times New Roman"/>
          <w:sz w:val="24"/>
          <w:szCs w:val="24"/>
        </w:rPr>
      </w:pPr>
      <w:r w:rsidRPr="00A87F98">
        <w:rPr>
          <w:rFonts w:ascii="Times New Roman" w:hAnsi="Times New Roman" w:cs="Times New Roman"/>
          <w:b/>
          <w:sz w:val="24"/>
          <w:szCs w:val="24"/>
        </w:rPr>
        <w:t>CEN-SAD :</w:t>
      </w:r>
      <w:r w:rsidRPr="00FD1FE8">
        <w:rPr>
          <w:rFonts w:ascii="Times New Roman" w:hAnsi="Times New Roman" w:cs="Times New Roman"/>
          <w:sz w:val="24"/>
          <w:szCs w:val="24"/>
        </w:rPr>
        <w:t>Communauté des Etats Sahélo-Sahariens</w:t>
      </w:r>
    </w:p>
    <w:p w:rsidR="00026098" w:rsidRPr="00FD1FE8" w:rsidRDefault="00FD1FE8" w:rsidP="00FD1FE8">
      <w:pPr>
        <w:jc w:val="both"/>
        <w:rPr>
          <w:rFonts w:ascii="Times New Roman" w:hAnsi="Times New Roman" w:cs="Times New Roman"/>
          <w:sz w:val="24"/>
          <w:szCs w:val="24"/>
        </w:rPr>
      </w:pPr>
      <w:r w:rsidRPr="00A87F98">
        <w:rPr>
          <w:rFonts w:ascii="Times New Roman" w:hAnsi="Times New Roman" w:cs="Times New Roman"/>
          <w:b/>
          <w:sz w:val="24"/>
          <w:szCs w:val="24"/>
        </w:rPr>
        <w:t>Cf.</w:t>
      </w:r>
      <w:r w:rsidR="00026098" w:rsidRPr="00A87F98">
        <w:rPr>
          <w:rFonts w:ascii="Times New Roman" w:hAnsi="Times New Roman" w:cs="Times New Roman"/>
          <w:b/>
          <w:sz w:val="24"/>
          <w:szCs w:val="24"/>
        </w:rPr>
        <w:t> :</w:t>
      </w:r>
      <w:r w:rsidR="00026098" w:rsidRPr="00FD1FE8">
        <w:rPr>
          <w:rFonts w:ascii="Times New Roman" w:hAnsi="Times New Roman" w:cs="Times New Roman"/>
          <w:sz w:val="24"/>
          <w:szCs w:val="24"/>
        </w:rPr>
        <w:t>Confer</w:t>
      </w:r>
    </w:p>
    <w:p w:rsidR="00026098" w:rsidRPr="00FD1FE8" w:rsidRDefault="00026098" w:rsidP="00FD1FE8">
      <w:pPr>
        <w:jc w:val="both"/>
        <w:rPr>
          <w:rFonts w:ascii="Times New Roman" w:hAnsi="Times New Roman" w:cs="Times New Roman"/>
          <w:sz w:val="24"/>
          <w:szCs w:val="24"/>
        </w:rPr>
      </w:pPr>
      <w:r w:rsidRPr="00A87F98">
        <w:rPr>
          <w:rFonts w:ascii="Times New Roman" w:hAnsi="Times New Roman" w:cs="Times New Roman"/>
          <w:b/>
          <w:sz w:val="24"/>
          <w:szCs w:val="24"/>
        </w:rPr>
        <w:t>CIJ :</w:t>
      </w:r>
      <w:r w:rsidRPr="00FD1FE8">
        <w:rPr>
          <w:rFonts w:ascii="Times New Roman" w:hAnsi="Times New Roman" w:cs="Times New Roman"/>
          <w:sz w:val="24"/>
          <w:szCs w:val="24"/>
        </w:rPr>
        <w:t>Cour Internationale de Justice</w:t>
      </w:r>
    </w:p>
    <w:p w:rsidR="00026098" w:rsidRPr="00FD1FE8" w:rsidRDefault="00026098" w:rsidP="00FD1FE8">
      <w:pPr>
        <w:jc w:val="both"/>
        <w:rPr>
          <w:rFonts w:ascii="Times New Roman" w:hAnsi="Times New Roman" w:cs="Times New Roman"/>
          <w:sz w:val="24"/>
          <w:szCs w:val="24"/>
        </w:rPr>
      </w:pPr>
      <w:r w:rsidRPr="00A87F98">
        <w:rPr>
          <w:rFonts w:ascii="Times New Roman" w:hAnsi="Times New Roman" w:cs="Times New Roman"/>
          <w:b/>
          <w:sz w:val="24"/>
          <w:szCs w:val="24"/>
        </w:rPr>
        <w:t>CJ/CEDEAO :</w:t>
      </w:r>
      <w:r w:rsidRPr="00FD1FE8">
        <w:rPr>
          <w:rFonts w:ascii="Times New Roman" w:hAnsi="Times New Roman" w:cs="Times New Roman"/>
          <w:sz w:val="24"/>
          <w:szCs w:val="24"/>
        </w:rPr>
        <w:t xml:space="preserve"> Cour de justice de la Communauté Economique des Etats de l’Afrique de l’Ouest</w:t>
      </w:r>
    </w:p>
    <w:p w:rsidR="00026098" w:rsidRPr="00FD1FE8" w:rsidRDefault="00026098" w:rsidP="00FD1FE8">
      <w:pPr>
        <w:jc w:val="both"/>
        <w:rPr>
          <w:rFonts w:ascii="Times New Roman" w:hAnsi="Times New Roman" w:cs="Times New Roman"/>
          <w:sz w:val="24"/>
          <w:szCs w:val="24"/>
        </w:rPr>
      </w:pPr>
      <w:r w:rsidRPr="00A87F98">
        <w:rPr>
          <w:rFonts w:ascii="Times New Roman" w:hAnsi="Times New Roman" w:cs="Times New Roman"/>
          <w:b/>
          <w:sz w:val="24"/>
          <w:szCs w:val="24"/>
        </w:rPr>
        <w:t>CJ/CEMAC :</w:t>
      </w:r>
      <w:r w:rsidRPr="00FD1FE8">
        <w:rPr>
          <w:rFonts w:ascii="Times New Roman" w:hAnsi="Times New Roman" w:cs="Times New Roman"/>
          <w:sz w:val="24"/>
          <w:szCs w:val="24"/>
        </w:rPr>
        <w:t xml:space="preserve"> Cour de justice de la Communauté Economique et Monétaire de l’Afrique Centrale</w:t>
      </w:r>
    </w:p>
    <w:p w:rsidR="00026098" w:rsidRPr="00FD1FE8" w:rsidRDefault="00026098" w:rsidP="00FD1FE8">
      <w:pPr>
        <w:jc w:val="both"/>
        <w:rPr>
          <w:rFonts w:ascii="Times New Roman" w:hAnsi="Times New Roman" w:cs="Times New Roman"/>
          <w:sz w:val="24"/>
          <w:szCs w:val="24"/>
        </w:rPr>
      </w:pPr>
      <w:r w:rsidRPr="00A87F98">
        <w:rPr>
          <w:rFonts w:ascii="Times New Roman" w:hAnsi="Times New Roman" w:cs="Times New Roman"/>
          <w:b/>
          <w:sz w:val="24"/>
          <w:szCs w:val="24"/>
        </w:rPr>
        <w:t>CJ/COMESA :</w:t>
      </w:r>
      <w:r w:rsidRPr="00FD1FE8">
        <w:rPr>
          <w:rFonts w:ascii="Times New Roman" w:hAnsi="Times New Roman" w:cs="Times New Roman"/>
          <w:sz w:val="24"/>
          <w:szCs w:val="24"/>
        </w:rPr>
        <w:t>Cour de justice du Marché commun de l’Afrique de l’Est et de l’Afrique Australe</w:t>
      </w:r>
    </w:p>
    <w:p w:rsidR="00026098" w:rsidRPr="00FD1FE8" w:rsidRDefault="00026098" w:rsidP="00FD1FE8">
      <w:pPr>
        <w:jc w:val="both"/>
        <w:rPr>
          <w:rFonts w:ascii="Times New Roman" w:hAnsi="Times New Roman" w:cs="Times New Roman"/>
          <w:sz w:val="24"/>
          <w:szCs w:val="24"/>
        </w:rPr>
      </w:pPr>
      <w:r w:rsidRPr="00A87F98">
        <w:rPr>
          <w:rFonts w:ascii="Times New Roman" w:hAnsi="Times New Roman" w:cs="Times New Roman"/>
          <w:b/>
          <w:sz w:val="24"/>
          <w:szCs w:val="24"/>
        </w:rPr>
        <w:lastRenderedPageBreak/>
        <w:t>CJ/UEMOA :</w:t>
      </w:r>
      <w:r w:rsidRPr="00FD1FE8">
        <w:rPr>
          <w:rFonts w:ascii="Times New Roman" w:hAnsi="Times New Roman" w:cs="Times New Roman"/>
          <w:sz w:val="24"/>
          <w:szCs w:val="24"/>
        </w:rPr>
        <w:t>Cour de justice de l’Union Economique et Monétaire Ouest Africaine</w:t>
      </w:r>
    </w:p>
    <w:p w:rsidR="00026098" w:rsidRPr="00FD1FE8" w:rsidRDefault="00026098" w:rsidP="00FD1FE8">
      <w:pPr>
        <w:jc w:val="both"/>
        <w:rPr>
          <w:rFonts w:ascii="Times New Roman" w:hAnsi="Times New Roman" w:cs="Times New Roman"/>
          <w:sz w:val="24"/>
          <w:szCs w:val="24"/>
        </w:rPr>
      </w:pPr>
      <w:r w:rsidRPr="00CB0BF6">
        <w:rPr>
          <w:rFonts w:ascii="Times New Roman" w:hAnsi="Times New Roman" w:cs="Times New Roman"/>
          <w:b/>
          <w:sz w:val="24"/>
          <w:szCs w:val="24"/>
        </w:rPr>
        <w:t>CJCE :</w:t>
      </w:r>
      <w:r w:rsidRPr="00FD1FE8">
        <w:rPr>
          <w:rFonts w:ascii="Times New Roman" w:hAnsi="Times New Roman" w:cs="Times New Roman"/>
          <w:sz w:val="24"/>
          <w:szCs w:val="24"/>
        </w:rPr>
        <w:t>Cour de Justice des Communautés Européennes</w:t>
      </w:r>
    </w:p>
    <w:p w:rsidR="00026098" w:rsidRPr="00FD1FE8" w:rsidRDefault="00026098" w:rsidP="00FD1FE8">
      <w:pPr>
        <w:jc w:val="both"/>
        <w:rPr>
          <w:rFonts w:ascii="Times New Roman" w:hAnsi="Times New Roman" w:cs="Times New Roman"/>
          <w:sz w:val="24"/>
          <w:szCs w:val="24"/>
        </w:rPr>
      </w:pPr>
      <w:r w:rsidRPr="00CB0BF6">
        <w:rPr>
          <w:rFonts w:ascii="Times New Roman" w:hAnsi="Times New Roman" w:cs="Times New Roman"/>
          <w:b/>
          <w:sz w:val="24"/>
          <w:szCs w:val="24"/>
        </w:rPr>
        <w:t>COMESA :</w:t>
      </w:r>
      <w:r w:rsidRPr="00FD1FE8">
        <w:rPr>
          <w:rFonts w:ascii="Times New Roman" w:hAnsi="Times New Roman" w:cs="Times New Roman"/>
          <w:sz w:val="24"/>
          <w:szCs w:val="24"/>
        </w:rPr>
        <w:t xml:space="preserve">Marché Commun de l’Afrique de l’Est et de l’Afrique Australe (en Anglais : </w:t>
      </w:r>
      <w:r w:rsidRPr="00FD1FE8">
        <w:rPr>
          <w:rFonts w:ascii="Times New Roman" w:hAnsi="Times New Roman" w:cs="Times New Roman"/>
          <w:i/>
          <w:sz w:val="24"/>
          <w:szCs w:val="24"/>
        </w:rPr>
        <w:t>Common Market for Eastern and SouthernAfrican States</w:t>
      </w:r>
      <w:r w:rsidRPr="00FD1FE8">
        <w:rPr>
          <w:rFonts w:ascii="Times New Roman" w:hAnsi="Times New Roman" w:cs="Times New Roman"/>
          <w:sz w:val="24"/>
          <w:szCs w:val="24"/>
        </w:rPr>
        <w:t>)</w:t>
      </w:r>
    </w:p>
    <w:p w:rsidR="00026098" w:rsidRPr="00FD1FE8" w:rsidRDefault="00026098" w:rsidP="00FD1FE8">
      <w:pPr>
        <w:jc w:val="both"/>
        <w:rPr>
          <w:rFonts w:ascii="Times New Roman" w:hAnsi="Times New Roman" w:cs="Times New Roman"/>
          <w:sz w:val="24"/>
          <w:szCs w:val="24"/>
        </w:rPr>
      </w:pPr>
      <w:r w:rsidRPr="00CB0BF6">
        <w:rPr>
          <w:rFonts w:ascii="Times New Roman" w:hAnsi="Times New Roman" w:cs="Times New Roman"/>
          <w:b/>
          <w:sz w:val="24"/>
          <w:szCs w:val="24"/>
        </w:rPr>
        <w:t>Ed :</w:t>
      </w:r>
      <w:r w:rsidRPr="00FD1FE8">
        <w:rPr>
          <w:rFonts w:ascii="Times New Roman" w:hAnsi="Times New Roman" w:cs="Times New Roman"/>
          <w:sz w:val="24"/>
          <w:szCs w:val="24"/>
        </w:rPr>
        <w:t>Edition</w:t>
      </w:r>
    </w:p>
    <w:p w:rsidR="00026098" w:rsidRPr="00FD1FE8" w:rsidRDefault="00026098" w:rsidP="00FD1FE8">
      <w:pPr>
        <w:jc w:val="both"/>
        <w:rPr>
          <w:rFonts w:ascii="Times New Roman" w:hAnsi="Times New Roman" w:cs="Times New Roman"/>
          <w:sz w:val="24"/>
          <w:szCs w:val="24"/>
        </w:rPr>
      </w:pPr>
      <w:r w:rsidRPr="00CB0BF6">
        <w:rPr>
          <w:rFonts w:ascii="Times New Roman" w:hAnsi="Times New Roman" w:cs="Times New Roman"/>
          <w:b/>
          <w:sz w:val="24"/>
          <w:szCs w:val="24"/>
        </w:rPr>
        <w:t>ERSUMA :</w:t>
      </w:r>
      <w:r w:rsidRPr="00FD1FE8">
        <w:rPr>
          <w:rFonts w:ascii="Times New Roman" w:hAnsi="Times New Roman" w:cs="Times New Roman"/>
          <w:sz w:val="24"/>
          <w:szCs w:val="24"/>
        </w:rPr>
        <w:t>Ecole Régionale Supérieure de la Magistrature</w:t>
      </w:r>
    </w:p>
    <w:p w:rsidR="00026098" w:rsidRPr="00FD1FE8" w:rsidRDefault="00026098" w:rsidP="00FD1FE8">
      <w:pPr>
        <w:jc w:val="both"/>
        <w:rPr>
          <w:rFonts w:ascii="Times New Roman" w:hAnsi="Times New Roman" w:cs="Times New Roman"/>
          <w:sz w:val="24"/>
          <w:szCs w:val="24"/>
        </w:rPr>
      </w:pPr>
      <w:r w:rsidRPr="00CB0BF6">
        <w:rPr>
          <w:rFonts w:ascii="Times New Roman" w:hAnsi="Times New Roman" w:cs="Times New Roman"/>
          <w:b/>
          <w:i/>
          <w:sz w:val="24"/>
          <w:szCs w:val="24"/>
        </w:rPr>
        <w:t>IBID</w:t>
      </w:r>
      <w:r w:rsidRPr="00CB0BF6">
        <w:rPr>
          <w:rFonts w:ascii="Times New Roman" w:hAnsi="Times New Roman" w:cs="Times New Roman"/>
          <w:b/>
          <w:sz w:val="24"/>
          <w:szCs w:val="24"/>
        </w:rPr>
        <w:t> :</w:t>
      </w:r>
      <w:r w:rsidRPr="00FD1FE8">
        <w:rPr>
          <w:rFonts w:ascii="Times New Roman" w:hAnsi="Times New Roman" w:cs="Times New Roman"/>
          <w:sz w:val="24"/>
          <w:szCs w:val="24"/>
        </w:rPr>
        <w:t xml:space="preserve">                Au même endroit</w:t>
      </w:r>
    </w:p>
    <w:p w:rsidR="00026098" w:rsidRPr="00FD1FE8" w:rsidRDefault="00026098" w:rsidP="00FD1FE8">
      <w:pPr>
        <w:jc w:val="both"/>
        <w:rPr>
          <w:rFonts w:ascii="Times New Roman" w:hAnsi="Times New Roman" w:cs="Times New Roman"/>
          <w:sz w:val="24"/>
          <w:szCs w:val="24"/>
        </w:rPr>
      </w:pPr>
      <w:r w:rsidRPr="00CB0BF6">
        <w:rPr>
          <w:rFonts w:ascii="Times New Roman" w:hAnsi="Times New Roman" w:cs="Times New Roman"/>
          <w:b/>
          <w:i/>
          <w:sz w:val="24"/>
          <w:szCs w:val="24"/>
        </w:rPr>
        <w:t>In</w:t>
      </w:r>
      <w:r w:rsidRPr="00CB0BF6">
        <w:rPr>
          <w:rFonts w:ascii="Times New Roman" w:hAnsi="Times New Roman" w:cs="Times New Roman"/>
          <w:b/>
          <w:sz w:val="24"/>
          <w:szCs w:val="24"/>
        </w:rPr>
        <w:t> :</w:t>
      </w:r>
      <w:r w:rsidRPr="00FD1FE8">
        <w:rPr>
          <w:rFonts w:ascii="Times New Roman" w:hAnsi="Times New Roman" w:cs="Times New Roman"/>
          <w:sz w:val="24"/>
          <w:szCs w:val="24"/>
        </w:rPr>
        <w:t>Dans</w:t>
      </w:r>
    </w:p>
    <w:p w:rsidR="00026098" w:rsidRPr="00FD1FE8" w:rsidRDefault="00026098" w:rsidP="00FD1FE8">
      <w:pPr>
        <w:jc w:val="both"/>
        <w:rPr>
          <w:rFonts w:ascii="Times New Roman" w:hAnsi="Times New Roman" w:cs="Times New Roman"/>
          <w:sz w:val="24"/>
          <w:szCs w:val="24"/>
        </w:rPr>
      </w:pPr>
      <w:r w:rsidRPr="00CB0BF6">
        <w:rPr>
          <w:rFonts w:ascii="Times New Roman" w:hAnsi="Times New Roman" w:cs="Times New Roman"/>
          <w:b/>
          <w:i/>
          <w:sz w:val="24"/>
          <w:szCs w:val="24"/>
        </w:rPr>
        <w:t>Infra</w:t>
      </w:r>
      <w:r w:rsidRPr="00CB0BF6">
        <w:rPr>
          <w:rFonts w:ascii="Times New Roman" w:hAnsi="Times New Roman" w:cs="Times New Roman"/>
          <w:b/>
          <w:sz w:val="24"/>
          <w:szCs w:val="24"/>
        </w:rPr>
        <w:t> :</w:t>
      </w:r>
      <w:r w:rsidRPr="00FD1FE8">
        <w:rPr>
          <w:rFonts w:ascii="Times New Roman" w:hAnsi="Times New Roman" w:cs="Times New Roman"/>
          <w:sz w:val="24"/>
          <w:szCs w:val="24"/>
        </w:rPr>
        <w:t>Ci-dessous, plus bas</w:t>
      </w:r>
    </w:p>
    <w:p w:rsidR="00026098" w:rsidRPr="00FD1FE8" w:rsidRDefault="00026098" w:rsidP="00FD1FE8">
      <w:pPr>
        <w:jc w:val="both"/>
        <w:rPr>
          <w:rFonts w:ascii="Times New Roman" w:hAnsi="Times New Roman" w:cs="Times New Roman"/>
          <w:sz w:val="24"/>
          <w:szCs w:val="24"/>
        </w:rPr>
      </w:pPr>
      <w:r w:rsidRPr="00CB0BF6">
        <w:rPr>
          <w:rFonts w:ascii="Times New Roman" w:hAnsi="Times New Roman" w:cs="Times New Roman"/>
          <w:b/>
          <w:sz w:val="24"/>
          <w:szCs w:val="24"/>
        </w:rPr>
        <w:t>MC :</w:t>
      </w:r>
      <w:r w:rsidRPr="00FD1FE8">
        <w:rPr>
          <w:rFonts w:ascii="Times New Roman" w:hAnsi="Times New Roman" w:cs="Times New Roman"/>
          <w:sz w:val="24"/>
          <w:szCs w:val="24"/>
        </w:rPr>
        <w:t>Marché Commun</w:t>
      </w:r>
    </w:p>
    <w:p w:rsidR="00026098" w:rsidRPr="00FD1FE8" w:rsidRDefault="00026098" w:rsidP="00FD1FE8">
      <w:pPr>
        <w:jc w:val="both"/>
        <w:rPr>
          <w:rFonts w:ascii="Times New Roman" w:hAnsi="Times New Roman" w:cs="Times New Roman"/>
          <w:sz w:val="24"/>
          <w:szCs w:val="24"/>
        </w:rPr>
      </w:pPr>
      <w:r w:rsidRPr="00CB0BF6">
        <w:rPr>
          <w:rFonts w:ascii="Times New Roman" w:hAnsi="Times New Roman" w:cs="Times New Roman"/>
          <w:b/>
          <w:sz w:val="24"/>
          <w:szCs w:val="24"/>
        </w:rPr>
        <w:t>N° :</w:t>
      </w:r>
      <w:r w:rsidRPr="00FD1FE8">
        <w:rPr>
          <w:rFonts w:ascii="Times New Roman" w:hAnsi="Times New Roman" w:cs="Times New Roman"/>
          <w:sz w:val="24"/>
          <w:szCs w:val="24"/>
        </w:rPr>
        <w:t>Numéro</w:t>
      </w:r>
    </w:p>
    <w:p w:rsidR="00026098" w:rsidRPr="00FD1FE8" w:rsidRDefault="00026098" w:rsidP="00FD1FE8">
      <w:pPr>
        <w:jc w:val="both"/>
        <w:rPr>
          <w:rFonts w:ascii="Times New Roman" w:hAnsi="Times New Roman" w:cs="Times New Roman"/>
          <w:sz w:val="24"/>
          <w:szCs w:val="24"/>
        </w:rPr>
      </w:pPr>
      <w:r w:rsidRPr="00CB0BF6">
        <w:rPr>
          <w:rFonts w:ascii="Times New Roman" w:hAnsi="Times New Roman" w:cs="Times New Roman"/>
          <w:b/>
          <w:sz w:val="24"/>
          <w:szCs w:val="24"/>
        </w:rPr>
        <w:t>OHADA :</w:t>
      </w:r>
      <w:r w:rsidRPr="00FD1FE8">
        <w:rPr>
          <w:rFonts w:ascii="Times New Roman" w:hAnsi="Times New Roman" w:cs="Times New Roman"/>
          <w:sz w:val="24"/>
          <w:szCs w:val="24"/>
        </w:rPr>
        <w:t>Organisation pour l’Harmonisation en Afrique du Droit des Affaires</w:t>
      </w:r>
    </w:p>
    <w:p w:rsidR="00026098" w:rsidRPr="00FD1FE8" w:rsidRDefault="00026098" w:rsidP="00FD1FE8">
      <w:pPr>
        <w:jc w:val="both"/>
        <w:rPr>
          <w:rFonts w:ascii="Times New Roman" w:hAnsi="Times New Roman" w:cs="Times New Roman"/>
          <w:sz w:val="24"/>
          <w:szCs w:val="24"/>
        </w:rPr>
      </w:pPr>
      <w:r w:rsidRPr="00CB0BF6">
        <w:rPr>
          <w:rFonts w:ascii="Times New Roman" w:hAnsi="Times New Roman" w:cs="Times New Roman"/>
          <w:b/>
          <w:i/>
          <w:sz w:val="24"/>
          <w:szCs w:val="24"/>
        </w:rPr>
        <w:t>Op. Cit</w:t>
      </w:r>
      <w:r w:rsidRPr="00CB0BF6">
        <w:rPr>
          <w:rFonts w:ascii="Times New Roman" w:hAnsi="Times New Roman" w:cs="Times New Roman"/>
          <w:b/>
          <w:sz w:val="24"/>
          <w:szCs w:val="24"/>
        </w:rPr>
        <w:t> :</w:t>
      </w:r>
      <w:r w:rsidRPr="00FD1FE8">
        <w:rPr>
          <w:rFonts w:ascii="Times New Roman" w:hAnsi="Times New Roman" w:cs="Times New Roman"/>
          <w:i/>
          <w:sz w:val="24"/>
          <w:szCs w:val="24"/>
        </w:rPr>
        <w:t>OpereCitato</w:t>
      </w:r>
      <w:r w:rsidRPr="00FD1FE8">
        <w:rPr>
          <w:rFonts w:ascii="Times New Roman" w:hAnsi="Times New Roman" w:cs="Times New Roman"/>
          <w:sz w:val="24"/>
          <w:szCs w:val="24"/>
        </w:rPr>
        <w:t> : dans l’ouvrage cité</w:t>
      </w:r>
    </w:p>
    <w:p w:rsidR="00026098" w:rsidRPr="00FD1FE8" w:rsidRDefault="00026098" w:rsidP="00FD1FE8">
      <w:pPr>
        <w:jc w:val="both"/>
        <w:rPr>
          <w:rFonts w:ascii="Times New Roman" w:hAnsi="Times New Roman" w:cs="Times New Roman"/>
          <w:sz w:val="24"/>
          <w:szCs w:val="24"/>
        </w:rPr>
      </w:pPr>
      <w:r w:rsidRPr="00CB0BF6">
        <w:rPr>
          <w:rFonts w:ascii="Times New Roman" w:hAnsi="Times New Roman" w:cs="Times New Roman"/>
          <w:b/>
          <w:sz w:val="24"/>
          <w:szCs w:val="24"/>
        </w:rPr>
        <w:t>Ord. :</w:t>
      </w:r>
      <w:r w:rsidRPr="00FD1FE8">
        <w:rPr>
          <w:rFonts w:ascii="Times New Roman" w:hAnsi="Times New Roman" w:cs="Times New Roman"/>
          <w:sz w:val="24"/>
          <w:szCs w:val="24"/>
        </w:rPr>
        <w:t>Ordonnance</w:t>
      </w:r>
    </w:p>
    <w:p w:rsidR="00026098" w:rsidRPr="00FD1FE8" w:rsidRDefault="00026098" w:rsidP="00FD1FE8">
      <w:pPr>
        <w:jc w:val="both"/>
        <w:rPr>
          <w:rFonts w:ascii="Times New Roman" w:hAnsi="Times New Roman" w:cs="Times New Roman"/>
          <w:sz w:val="24"/>
          <w:szCs w:val="24"/>
        </w:rPr>
      </w:pPr>
      <w:r w:rsidRPr="00CB0BF6">
        <w:rPr>
          <w:rFonts w:ascii="Times New Roman" w:hAnsi="Times New Roman" w:cs="Times New Roman"/>
          <w:b/>
          <w:sz w:val="24"/>
          <w:szCs w:val="24"/>
        </w:rPr>
        <w:t>P :</w:t>
      </w:r>
      <w:r w:rsidRPr="00FD1FE8">
        <w:rPr>
          <w:rFonts w:ascii="Times New Roman" w:hAnsi="Times New Roman" w:cs="Times New Roman"/>
          <w:sz w:val="24"/>
          <w:szCs w:val="24"/>
        </w:rPr>
        <w:t>page</w:t>
      </w:r>
    </w:p>
    <w:p w:rsidR="00026098" w:rsidRPr="00FD1FE8" w:rsidRDefault="00026098" w:rsidP="00FD1FE8">
      <w:pPr>
        <w:jc w:val="both"/>
        <w:rPr>
          <w:rFonts w:ascii="Times New Roman" w:hAnsi="Times New Roman" w:cs="Times New Roman"/>
          <w:sz w:val="24"/>
          <w:szCs w:val="24"/>
        </w:rPr>
      </w:pPr>
      <w:r w:rsidRPr="00CB0BF6">
        <w:rPr>
          <w:rFonts w:ascii="Times New Roman" w:hAnsi="Times New Roman" w:cs="Times New Roman"/>
          <w:b/>
          <w:sz w:val="24"/>
          <w:szCs w:val="24"/>
        </w:rPr>
        <w:t>PP :</w:t>
      </w:r>
      <w:r w:rsidRPr="00FD1FE8">
        <w:rPr>
          <w:rFonts w:ascii="Times New Roman" w:hAnsi="Times New Roman" w:cs="Times New Roman"/>
          <w:sz w:val="24"/>
          <w:szCs w:val="24"/>
        </w:rPr>
        <w:t>pages</w:t>
      </w:r>
    </w:p>
    <w:p w:rsidR="00026098" w:rsidRPr="00FD1FE8" w:rsidRDefault="00026098" w:rsidP="00FD1FE8">
      <w:pPr>
        <w:jc w:val="both"/>
        <w:rPr>
          <w:rFonts w:ascii="Times New Roman" w:hAnsi="Times New Roman" w:cs="Times New Roman"/>
          <w:sz w:val="24"/>
          <w:szCs w:val="24"/>
        </w:rPr>
      </w:pPr>
      <w:r w:rsidRPr="00CB0BF6">
        <w:rPr>
          <w:rFonts w:ascii="Times New Roman" w:hAnsi="Times New Roman" w:cs="Times New Roman"/>
          <w:b/>
          <w:sz w:val="24"/>
          <w:szCs w:val="24"/>
        </w:rPr>
        <w:t>Q.P.C :</w:t>
      </w:r>
      <w:r w:rsidRPr="00FD1FE8">
        <w:rPr>
          <w:rFonts w:ascii="Times New Roman" w:hAnsi="Times New Roman" w:cs="Times New Roman"/>
          <w:sz w:val="24"/>
          <w:szCs w:val="24"/>
        </w:rPr>
        <w:t>Question prioritaire de constitutionnalité</w:t>
      </w:r>
    </w:p>
    <w:p w:rsidR="00026098" w:rsidRPr="00FD1FE8" w:rsidRDefault="00243F6F" w:rsidP="00FD1FE8">
      <w:pPr>
        <w:jc w:val="both"/>
        <w:rPr>
          <w:rFonts w:ascii="Times New Roman" w:hAnsi="Times New Roman" w:cs="Times New Roman"/>
          <w:sz w:val="24"/>
          <w:szCs w:val="24"/>
        </w:rPr>
      </w:pPr>
      <w:r w:rsidRPr="00CB0BF6">
        <w:rPr>
          <w:rFonts w:ascii="Times New Roman" w:hAnsi="Times New Roman" w:cs="Times New Roman"/>
          <w:b/>
          <w:sz w:val="24"/>
          <w:szCs w:val="24"/>
        </w:rPr>
        <w:t>Rec.</w:t>
      </w:r>
      <w:r w:rsidR="00026098" w:rsidRPr="00CB0BF6">
        <w:rPr>
          <w:rFonts w:ascii="Times New Roman" w:hAnsi="Times New Roman" w:cs="Times New Roman"/>
          <w:b/>
          <w:sz w:val="24"/>
          <w:szCs w:val="24"/>
        </w:rPr>
        <w:t> :</w:t>
      </w:r>
      <w:r w:rsidR="00026098" w:rsidRPr="00FD1FE8">
        <w:rPr>
          <w:rFonts w:ascii="Times New Roman" w:hAnsi="Times New Roman" w:cs="Times New Roman"/>
          <w:sz w:val="24"/>
          <w:szCs w:val="24"/>
        </w:rPr>
        <w:t>Recueil</w:t>
      </w:r>
    </w:p>
    <w:p w:rsidR="00026098" w:rsidRPr="00FD1FE8" w:rsidRDefault="00026098" w:rsidP="00FD1FE8">
      <w:pPr>
        <w:jc w:val="both"/>
        <w:rPr>
          <w:rFonts w:ascii="Times New Roman" w:hAnsi="Times New Roman" w:cs="Times New Roman"/>
          <w:sz w:val="24"/>
          <w:szCs w:val="24"/>
        </w:rPr>
      </w:pPr>
      <w:r w:rsidRPr="00CB0BF6">
        <w:rPr>
          <w:rFonts w:ascii="Times New Roman" w:hAnsi="Times New Roman" w:cs="Times New Roman"/>
          <w:b/>
          <w:sz w:val="24"/>
          <w:szCs w:val="24"/>
        </w:rPr>
        <w:t>Rev. Trim. Dr. H :</w:t>
      </w:r>
      <w:r w:rsidRPr="00FD1FE8">
        <w:rPr>
          <w:rFonts w:ascii="Times New Roman" w:hAnsi="Times New Roman" w:cs="Times New Roman"/>
          <w:sz w:val="24"/>
          <w:szCs w:val="24"/>
        </w:rPr>
        <w:t xml:space="preserve"> Revue trimestrielle des droits de l’homme</w:t>
      </w:r>
    </w:p>
    <w:p w:rsidR="00026098" w:rsidRPr="00FD1FE8" w:rsidRDefault="00026098" w:rsidP="00FD1FE8">
      <w:pPr>
        <w:jc w:val="both"/>
        <w:rPr>
          <w:rFonts w:ascii="Times New Roman" w:hAnsi="Times New Roman" w:cs="Times New Roman"/>
          <w:sz w:val="24"/>
          <w:szCs w:val="24"/>
        </w:rPr>
      </w:pPr>
      <w:r w:rsidRPr="00CB0BF6">
        <w:rPr>
          <w:rFonts w:ascii="Times New Roman" w:hAnsi="Times New Roman" w:cs="Times New Roman"/>
          <w:b/>
          <w:sz w:val="24"/>
          <w:szCs w:val="24"/>
        </w:rPr>
        <w:t>Rev. :</w:t>
      </w:r>
      <w:r w:rsidRPr="00FD1FE8">
        <w:rPr>
          <w:rFonts w:ascii="Times New Roman" w:hAnsi="Times New Roman" w:cs="Times New Roman"/>
          <w:sz w:val="24"/>
          <w:szCs w:val="24"/>
        </w:rPr>
        <w:t>Revue</w:t>
      </w:r>
    </w:p>
    <w:p w:rsidR="00026098" w:rsidRPr="00FD1FE8" w:rsidRDefault="00026098" w:rsidP="00FD1FE8">
      <w:pPr>
        <w:jc w:val="both"/>
        <w:rPr>
          <w:rFonts w:ascii="Times New Roman" w:hAnsi="Times New Roman" w:cs="Times New Roman"/>
          <w:sz w:val="24"/>
          <w:szCs w:val="24"/>
        </w:rPr>
      </w:pPr>
      <w:r w:rsidRPr="00CB0BF6">
        <w:rPr>
          <w:rFonts w:ascii="Times New Roman" w:hAnsi="Times New Roman" w:cs="Times New Roman"/>
          <w:b/>
          <w:sz w:val="24"/>
          <w:szCs w:val="24"/>
        </w:rPr>
        <w:t>RTDE :</w:t>
      </w:r>
      <w:r w:rsidRPr="00FD1FE8">
        <w:rPr>
          <w:rFonts w:ascii="Times New Roman" w:hAnsi="Times New Roman" w:cs="Times New Roman"/>
          <w:sz w:val="24"/>
          <w:szCs w:val="24"/>
        </w:rPr>
        <w:t>Revue trimestrielle de droit européen</w:t>
      </w:r>
    </w:p>
    <w:p w:rsidR="00026098" w:rsidRPr="00FD1FE8" w:rsidRDefault="00026098" w:rsidP="00FD1FE8">
      <w:pPr>
        <w:jc w:val="both"/>
        <w:rPr>
          <w:rFonts w:ascii="Times New Roman" w:hAnsi="Times New Roman" w:cs="Times New Roman"/>
          <w:sz w:val="24"/>
          <w:szCs w:val="24"/>
        </w:rPr>
      </w:pPr>
      <w:r w:rsidRPr="00CB0BF6">
        <w:rPr>
          <w:rFonts w:ascii="Times New Roman" w:hAnsi="Times New Roman" w:cs="Times New Roman"/>
          <w:b/>
          <w:sz w:val="24"/>
          <w:szCs w:val="24"/>
        </w:rPr>
        <w:t>SADC :</w:t>
      </w:r>
      <w:r w:rsidRPr="00FD1FE8">
        <w:rPr>
          <w:rFonts w:ascii="Times New Roman" w:hAnsi="Times New Roman" w:cs="Times New Roman"/>
          <w:sz w:val="24"/>
          <w:szCs w:val="24"/>
        </w:rPr>
        <w:t xml:space="preserve">Communauté de développement de l’Afrique Australe (en Anglais : </w:t>
      </w:r>
      <w:r w:rsidRPr="00FD1FE8">
        <w:rPr>
          <w:rFonts w:ascii="Times New Roman" w:hAnsi="Times New Roman" w:cs="Times New Roman"/>
          <w:i/>
          <w:sz w:val="24"/>
          <w:szCs w:val="24"/>
        </w:rPr>
        <w:t>SouthernAfricanDevelopmentCommunity</w:t>
      </w:r>
      <w:r w:rsidRPr="00FD1FE8">
        <w:rPr>
          <w:rFonts w:ascii="Times New Roman" w:hAnsi="Times New Roman" w:cs="Times New Roman"/>
          <w:sz w:val="24"/>
          <w:szCs w:val="24"/>
        </w:rPr>
        <w:t>)</w:t>
      </w:r>
    </w:p>
    <w:p w:rsidR="00026098" w:rsidRPr="00FD1FE8" w:rsidRDefault="00026098" w:rsidP="00FD1FE8">
      <w:pPr>
        <w:jc w:val="both"/>
        <w:rPr>
          <w:rFonts w:ascii="Times New Roman" w:hAnsi="Times New Roman" w:cs="Times New Roman"/>
          <w:sz w:val="24"/>
          <w:szCs w:val="24"/>
        </w:rPr>
      </w:pPr>
      <w:r w:rsidRPr="00CB0BF6">
        <w:rPr>
          <w:rFonts w:ascii="Times New Roman" w:hAnsi="Times New Roman" w:cs="Times New Roman"/>
          <w:b/>
          <w:i/>
          <w:sz w:val="24"/>
          <w:szCs w:val="24"/>
        </w:rPr>
        <w:t>Supra</w:t>
      </w:r>
      <w:r w:rsidRPr="00CB0BF6">
        <w:rPr>
          <w:rFonts w:ascii="Times New Roman" w:hAnsi="Times New Roman" w:cs="Times New Roman"/>
          <w:b/>
          <w:sz w:val="24"/>
          <w:szCs w:val="24"/>
        </w:rPr>
        <w:t> :</w:t>
      </w:r>
      <w:r w:rsidRPr="00FD1FE8">
        <w:rPr>
          <w:rFonts w:ascii="Times New Roman" w:hAnsi="Times New Roman" w:cs="Times New Roman"/>
          <w:sz w:val="24"/>
          <w:szCs w:val="24"/>
        </w:rPr>
        <w:t>Ci-dessus, plus haut</w:t>
      </w:r>
    </w:p>
    <w:p w:rsidR="00026098" w:rsidRDefault="00026098" w:rsidP="00FD1FE8">
      <w:pPr>
        <w:jc w:val="both"/>
        <w:rPr>
          <w:rFonts w:ascii="Times New Roman" w:hAnsi="Times New Roman" w:cs="Times New Roman"/>
          <w:sz w:val="24"/>
          <w:szCs w:val="24"/>
        </w:rPr>
      </w:pPr>
      <w:r w:rsidRPr="00CB0BF6">
        <w:rPr>
          <w:rFonts w:ascii="Times New Roman" w:hAnsi="Times New Roman" w:cs="Times New Roman"/>
          <w:b/>
          <w:sz w:val="24"/>
          <w:szCs w:val="24"/>
        </w:rPr>
        <w:t>TFUE :</w:t>
      </w:r>
      <w:r w:rsidRPr="00FD1FE8">
        <w:rPr>
          <w:rFonts w:ascii="Times New Roman" w:hAnsi="Times New Roman" w:cs="Times New Roman"/>
          <w:sz w:val="24"/>
          <w:szCs w:val="24"/>
        </w:rPr>
        <w:t>Traité sur le Fonctionnement de l’Union européenne</w:t>
      </w:r>
    </w:p>
    <w:p w:rsidR="0058333A" w:rsidRPr="00FD1FE8" w:rsidRDefault="0058333A" w:rsidP="00FD1FE8">
      <w:pPr>
        <w:jc w:val="both"/>
        <w:rPr>
          <w:rFonts w:ascii="Times New Roman" w:hAnsi="Times New Roman" w:cs="Times New Roman"/>
          <w:sz w:val="24"/>
          <w:szCs w:val="24"/>
        </w:rPr>
      </w:pPr>
      <w:r w:rsidRPr="0058333A">
        <w:rPr>
          <w:rFonts w:ascii="Times New Roman" w:hAnsi="Times New Roman" w:cs="Times New Roman"/>
          <w:b/>
          <w:sz w:val="24"/>
          <w:szCs w:val="24"/>
        </w:rPr>
        <w:t>TUE :</w:t>
      </w:r>
      <w:r>
        <w:rPr>
          <w:rFonts w:ascii="Times New Roman" w:hAnsi="Times New Roman" w:cs="Times New Roman"/>
          <w:sz w:val="24"/>
          <w:szCs w:val="24"/>
        </w:rPr>
        <w:t xml:space="preserve">             Traité sur l’Union européenne</w:t>
      </w:r>
    </w:p>
    <w:p w:rsidR="00026098" w:rsidRPr="00FD1FE8" w:rsidRDefault="00026098" w:rsidP="00FD1FE8">
      <w:pPr>
        <w:jc w:val="both"/>
        <w:rPr>
          <w:rFonts w:ascii="Times New Roman" w:hAnsi="Times New Roman" w:cs="Times New Roman"/>
          <w:sz w:val="24"/>
          <w:szCs w:val="24"/>
        </w:rPr>
      </w:pPr>
      <w:r w:rsidRPr="009B63A3">
        <w:rPr>
          <w:rFonts w:ascii="Times New Roman" w:hAnsi="Times New Roman" w:cs="Times New Roman"/>
          <w:b/>
          <w:sz w:val="24"/>
          <w:szCs w:val="24"/>
        </w:rPr>
        <w:t>UD :</w:t>
      </w:r>
      <w:r w:rsidRPr="00FD1FE8">
        <w:rPr>
          <w:rFonts w:ascii="Times New Roman" w:hAnsi="Times New Roman" w:cs="Times New Roman"/>
          <w:sz w:val="24"/>
          <w:szCs w:val="24"/>
        </w:rPr>
        <w:t>Union Douanière</w:t>
      </w:r>
    </w:p>
    <w:p w:rsidR="00026098" w:rsidRPr="00FD1FE8" w:rsidRDefault="00026098" w:rsidP="00FD1FE8">
      <w:pPr>
        <w:jc w:val="both"/>
        <w:rPr>
          <w:rFonts w:ascii="Times New Roman" w:hAnsi="Times New Roman" w:cs="Times New Roman"/>
          <w:sz w:val="24"/>
          <w:szCs w:val="24"/>
        </w:rPr>
      </w:pPr>
      <w:r w:rsidRPr="009B63A3">
        <w:rPr>
          <w:rFonts w:ascii="Times New Roman" w:hAnsi="Times New Roman" w:cs="Times New Roman"/>
          <w:b/>
          <w:sz w:val="24"/>
          <w:szCs w:val="24"/>
        </w:rPr>
        <w:lastRenderedPageBreak/>
        <w:t>UE :</w:t>
      </w:r>
      <w:r w:rsidRPr="00FD1FE8">
        <w:rPr>
          <w:rFonts w:ascii="Times New Roman" w:hAnsi="Times New Roman" w:cs="Times New Roman"/>
          <w:sz w:val="24"/>
          <w:szCs w:val="24"/>
        </w:rPr>
        <w:t>Union européenne</w:t>
      </w:r>
    </w:p>
    <w:p w:rsidR="00026098" w:rsidRPr="00FD1FE8" w:rsidRDefault="00026098" w:rsidP="00FD1FE8">
      <w:pPr>
        <w:jc w:val="both"/>
        <w:rPr>
          <w:rFonts w:ascii="Times New Roman" w:hAnsi="Times New Roman" w:cs="Times New Roman"/>
          <w:sz w:val="24"/>
          <w:szCs w:val="24"/>
        </w:rPr>
      </w:pPr>
      <w:r w:rsidRPr="009B63A3">
        <w:rPr>
          <w:rFonts w:ascii="Times New Roman" w:hAnsi="Times New Roman" w:cs="Times New Roman"/>
          <w:b/>
          <w:sz w:val="24"/>
          <w:szCs w:val="24"/>
        </w:rPr>
        <w:t>UEMOA :</w:t>
      </w:r>
      <w:r w:rsidRPr="00FD1FE8">
        <w:rPr>
          <w:rFonts w:ascii="Times New Roman" w:hAnsi="Times New Roman" w:cs="Times New Roman"/>
          <w:sz w:val="24"/>
          <w:szCs w:val="24"/>
        </w:rPr>
        <w:t>Union Economique et Monétaire Ouest africaine</w:t>
      </w:r>
    </w:p>
    <w:p w:rsidR="00026098" w:rsidRPr="00FD1FE8" w:rsidRDefault="00026098" w:rsidP="00FD1FE8">
      <w:pPr>
        <w:jc w:val="both"/>
        <w:rPr>
          <w:rFonts w:ascii="Times New Roman" w:hAnsi="Times New Roman" w:cs="Times New Roman"/>
          <w:sz w:val="24"/>
          <w:szCs w:val="24"/>
        </w:rPr>
      </w:pPr>
      <w:r w:rsidRPr="009B63A3">
        <w:rPr>
          <w:rFonts w:ascii="Times New Roman" w:hAnsi="Times New Roman" w:cs="Times New Roman"/>
          <w:b/>
          <w:sz w:val="24"/>
          <w:szCs w:val="24"/>
        </w:rPr>
        <w:t>UFR/SJP :</w:t>
      </w:r>
      <w:r w:rsidRPr="00FD1FE8">
        <w:rPr>
          <w:rFonts w:ascii="Times New Roman" w:hAnsi="Times New Roman" w:cs="Times New Roman"/>
          <w:sz w:val="24"/>
          <w:szCs w:val="24"/>
        </w:rPr>
        <w:t>Unité de Formation et de Recherche en Sciences Juridiques et Politiques</w:t>
      </w:r>
    </w:p>
    <w:p w:rsidR="00026098" w:rsidRPr="00FD1FE8" w:rsidRDefault="00026098" w:rsidP="00FD1FE8">
      <w:pPr>
        <w:jc w:val="both"/>
        <w:rPr>
          <w:rFonts w:ascii="Times New Roman" w:hAnsi="Times New Roman" w:cs="Times New Roman"/>
          <w:sz w:val="24"/>
          <w:szCs w:val="24"/>
        </w:rPr>
      </w:pPr>
      <w:r w:rsidRPr="009B63A3">
        <w:rPr>
          <w:rFonts w:ascii="Times New Roman" w:hAnsi="Times New Roman" w:cs="Times New Roman"/>
          <w:b/>
          <w:sz w:val="24"/>
          <w:szCs w:val="24"/>
        </w:rPr>
        <w:t>V. :</w:t>
      </w:r>
      <w:r w:rsidRPr="00FD1FE8">
        <w:rPr>
          <w:rFonts w:ascii="Times New Roman" w:hAnsi="Times New Roman" w:cs="Times New Roman"/>
          <w:sz w:val="24"/>
          <w:szCs w:val="24"/>
        </w:rPr>
        <w:t>Voir</w:t>
      </w:r>
    </w:p>
    <w:p w:rsidR="00026098" w:rsidRPr="00FD1FE8" w:rsidRDefault="00026098" w:rsidP="00FD1FE8">
      <w:pPr>
        <w:jc w:val="both"/>
        <w:rPr>
          <w:rFonts w:ascii="Times New Roman" w:hAnsi="Times New Roman" w:cs="Times New Roman"/>
          <w:sz w:val="24"/>
          <w:szCs w:val="24"/>
        </w:rPr>
      </w:pPr>
      <w:r w:rsidRPr="009B63A3">
        <w:rPr>
          <w:rFonts w:ascii="Times New Roman" w:hAnsi="Times New Roman" w:cs="Times New Roman"/>
          <w:b/>
          <w:sz w:val="24"/>
          <w:szCs w:val="24"/>
        </w:rPr>
        <w:t>Vol. :</w:t>
      </w:r>
      <w:r w:rsidRPr="00FD1FE8">
        <w:rPr>
          <w:rFonts w:ascii="Times New Roman" w:hAnsi="Times New Roman" w:cs="Times New Roman"/>
          <w:sz w:val="24"/>
          <w:szCs w:val="24"/>
        </w:rPr>
        <w:t>Volume</w:t>
      </w:r>
    </w:p>
    <w:p w:rsidR="00026098" w:rsidRPr="00FD1FE8" w:rsidRDefault="00026098" w:rsidP="00FD1FE8">
      <w:pPr>
        <w:jc w:val="both"/>
        <w:rPr>
          <w:rFonts w:ascii="Times New Roman" w:hAnsi="Times New Roman" w:cs="Times New Roman"/>
          <w:sz w:val="24"/>
          <w:szCs w:val="24"/>
        </w:rPr>
      </w:pPr>
      <w:r w:rsidRPr="009B63A3">
        <w:rPr>
          <w:rFonts w:ascii="Times New Roman" w:hAnsi="Times New Roman" w:cs="Times New Roman"/>
          <w:b/>
          <w:sz w:val="24"/>
          <w:szCs w:val="24"/>
        </w:rPr>
        <w:t>Voy :</w:t>
      </w:r>
      <w:r w:rsidRPr="00FD1FE8">
        <w:rPr>
          <w:rFonts w:ascii="Times New Roman" w:hAnsi="Times New Roman" w:cs="Times New Roman"/>
          <w:sz w:val="24"/>
          <w:szCs w:val="24"/>
        </w:rPr>
        <w:t>Voyez</w:t>
      </w:r>
    </w:p>
    <w:p w:rsidR="00026098" w:rsidRPr="00FD1FE8" w:rsidRDefault="00026098" w:rsidP="00FD1FE8">
      <w:pPr>
        <w:jc w:val="both"/>
        <w:rPr>
          <w:rFonts w:ascii="Times New Roman" w:hAnsi="Times New Roman" w:cs="Times New Roman"/>
          <w:sz w:val="24"/>
          <w:szCs w:val="24"/>
        </w:rPr>
      </w:pPr>
      <w:r w:rsidRPr="009B63A3">
        <w:rPr>
          <w:rFonts w:ascii="Times New Roman" w:hAnsi="Times New Roman" w:cs="Times New Roman"/>
          <w:b/>
          <w:sz w:val="24"/>
          <w:szCs w:val="24"/>
        </w:rPr>
        <w:t>ZLE :</w:t>
      </w:r>
      <w:r w:rsidRPr="00FD1FE8">
        <w:rPr>
          <w:rFonts w:ascii="Times New Roman" w:hAnsi="Times New Roman" w:cs="Times New Roman"/>
          <w:sz w:val="24"/>
          <w:szCs w:val="24"/>
        </w:rPr>
        <w:t>Zone de Libre Echange</w:t>
      </w:r>
    </w:p>
    <w:p w:rsidR="000B30EF" w:rsidRPr="002C6D23" w:rsidRDefault="00C60AB6" w:rsidP="00D36A42">
      <w:pPr>
        <w:jc w:val="center"/>
        <w:rPr>
          <w:rFonts w:ascii="Times New Roman" w:hAnsi="Times New Roman" w:cs="Times New Roman"/>
          <w:noProof/>
        </w:rPr>
      </w:pPr>
      <w:r>
        <w:br w:type="page"/>
      </w:r>
      <w:bookmarkStart w:id="9" w:name="_Toc518672775"/>
      <w:bookmarkStart w:id="10" w:name="_Toc518671701"/>
      <w:r w:rsidR="003467A6" w:rsidRPr="002C6D23">
        <w:rPr>
          <w:rStyle w:val="Titre1Car"/>
          <w:rFonts w:cs="Times New Roman"/>
        </w:rPr>
        <w:lastRenderedPageBreak/>
        <w:t>SOMMAIRE</w:t>
      </w:r>
      <w:bookmarkEnd w:id="2"/>
      <w:bookmarkEnd w:id="9"/>
      <w:r w:rsidR="006A52F6" w:rsidRPr="002C6D23">
        <w:rPr>
          <w:rFonts w:ascii="Times New Roman" w:hAnsi="Times New Roman" w:cs="Times New Roman"/>
          <w:b/>
        </w:rPr>
        <w:t>:</w:t>
      </w:r>
      <w:bookmarkStart w:id="11" w:name="_Toc515108221"/>
      <w:r w:rsidR="007E0BA0" w:rsidRPr="007E0BA0">
        <w:rPr>
          <w:rFonts w:ascii="Times New Roman" w:eastAsiaTheme="majorEastAsia" w:hAnsi="Times New Roman" w:cs="Times New Roman"/>
          <w:b/>
          <w:bCs/>
          <w:sz w:val="24"/>
          <w:szCs w:val="24"/>
        </w:rPr>
        <w:fldChar w:fldCharType="begin"/>
      </w:r>
      <w:r w:rsidR="000B30EF" w:rsidRPr="002C6D23">
        <w:rPr>
          <w:rFonts w:ascii="Times New Roman" w:hAnsi="Times New Roman" w:cs="Times New Roman"/>
          <w:sz w:val="24"/>
          <w:szCs w:val="24"/>
        </w:rPr>
        <w:instrText xml:space="preserve"> TOC \o "1-3" \h \z \u </w:instrText>
      </w:r>
      <w:r w:rsidR="007E0BA0" w:rsidRPr="007E0BA0">
        <w:rPr>
          <w:rFonts w:ascii="Times New Roman" w:eastAsiaTheme="majorEastAsia" w:hAnsi="Times New Roman" w:cs="Times New Roman"/>
          <w:b/>
          <w:bCs/>
          <w:sz w:val="24"/>
          <w:szCs w:val="24"/>
        </w:rPr>
        <w:fldChar w:fldCharType="separate"/>
      </w:r>
    </w:p>
    <w:p w:rsidR="000B30EF" w:rsidRPr="000D1BD6" w:rsidRDefault="007E0BA0">
      <w:pPr>
        <w:pStyle w:val="TM1"/>
        <w:tabs>
          <w:tab w:val="right" w:leader="dot" w:pos="9062"/>
        </w:tabs>
        <w:rPr>
          <w:rFonts w:ascii="Times New Roman" w:eastAsiaTheme="minorEastAsia" w:hAnsi="Times New Roman" w:cs="Times New Roman"/>
          <w:b w:val="0"/>
          <w:bCs w:val="0"/>
          <w:i w:val="0"/>
          <w:iCs w:val="0"/>
          <w:noProof/>
          <w:lang w:eastAsia="fr-FR"/>
        </w:rPr>
      </w:pPr>
      <w:hyperlink w:anchor="_Toc518671702" w:history="1">
        <w:r w:rsidR="000B30EF" w:rsidRPr="000D1BD6">
          <w:rPr>
            <w:rStyle w:val="Lienhypertexte"/>
            <w:rFonts w:ascii="Times New Roman" w:hAnsi="Times New Roman" w:cs="Times New Roman"/>
            <w:noProof/>
          </w:rPr>
          <w:t>INTRODUCTION GENERALE</w:t>
        </w:r>
        <w:r w:rsidR="000B30EF" w:rsidRPr="000D1BD6">
          <w:rPr>
            <w:rFonts w:ascii="Times New Roman" w:hAnsi="Times New Roman" w:cs="Times New Roman"/>
            <w:noProof/>
            <w:webHidden/>
          </w:rPr>
          <w:tab/>
        </w:r>
        <w:r w:rsidRPr="000D1BD6">
          <w:rPr>
            <w:rFonts w:ascii="Times New Roman" w:hAnsi="Times New Roman" w:cs="Times New Roman"/>
            <w:noProof/>
            <w:webHidden/>
          </w:rPr>
          <w:fldChar w:fldCharType="begin"/>
        </w:r>
        <w:r w:rsidR="000B30EF" w:rsidRPr="000D1BD6">
          <w:rPr>
            <w:rFonts w:ascii="Times New Roman" w:hAnsi="Times New Roman" w:cs="Times New Roman"/>
            <w:noProof/>
            <w:webHidden/>
          </w:rPr>
          <w:instrText xml:space="preserve"> PAGEREF _Toc518671702 \h </w:instrText>
        </w:r>
        <w:r w:rsidRPr="000D1BD6">
          <w:rPr>
            <w:rFonts w:ascii="Times New Roman" w:hAnsi="Times New Roman" w:cs="Times New Roman"/>
            <w:noProof/>
            <w:webHidden/>
          </w:rPr>
        </w:r>
        <w:r w:rsidRPr="000D1BD6">
          <w:rPr>
            <w:rFonts w:ascii="Times New Roman" w:hAnsi="Times New Roman" w:cs="Times New Roman"/>
            <w:noProof/>
            <w:webHidden/>
          </w:rPr>
          <w:fldChar w:fldCharType="separate"/>
        </w:r>
        <w:r w:rsidR="00002397">
          <w:rPr>
            <w:rFonts w:ascii="Times New Roman" w:hAnsi="Times New Roman" w:cs="Times New Roman"/>
            <w:noProof/>
            <w:webHidden/>
          </w:rPr>
          <w:t>1</w:t>
        </w:r>
        <w:r w:rsidRPr="000D1BD6">
          <w:rPr>
            <w:rFonts w:ascii="Times New Roman" w:hAnsi="Times New Roman" w:cs="Times New Roman"/>
            <w:noProof/>
            <w:webHidden/>
          </w:rPr>
          <w:fldChar w:fldCharType="end"/>
        </w:r>
      </w:hyperlink>
    </w:p>
    <w:p w:rsidR="000B30EF" w:rsidRPr="000D1BD6" w:rsidRDefault="007E0BA0">
      <w:pPr>
        <w:pStyle w:val="TM1"/>
        <w:tabs>
          <w:tab w:val="right" w:leader="dot" w:pos="9062"/>
        </w:tabs>
        <w:rPr>
          <w:rFonts w:ascii="Times New Roman" w:eastAsiaTheme="minorEastAsia" w:hAnsi="Times New Roman" w:cs="Times New Roman"/>
          <w:b w:val="0"/>
          <w:bCs w:val="0"/>
          <w:i w:val="0"/>
          <w:iCs w:val="0"/>
          <w:noProof/>
          <w:lang w:eastAsia="fr-FR"/>
        </w:rPr>
      </w:pPr>
      <w:hyperlink w:anchor="_Toc518671703" w:history="1">
        <w:r w:rsidR="000B30EF" w:rsidRPr="000D1BD6">
          <w:rPr>
            <w:rStyle w:val="Lienhypertexte"/>
            <w:rFonts w:ascii="Times New Roman" w:hAnsi="Times New Roman" w:cs="Times New Roman"/>
            <w:noProof/>
          </w:rPr>
          <w:t>TITRE I : UN RENVOI THEORIQUEMENT CONSACRE</w:t>
        </w:r>
        <w:r w:rsidR="000B30EF" w:rsidRPr="000D1BD6">
          <w:rPr>
            <w:rFonts w:ascii="Times New Roman" w:hAnsi="Times New Roman" w:cs="Times New Roman"/>
            <w:noProof/>
            <w:webHidden/>
          </w:rPr>
          <w:tab/>
        </w:r>
        <w:r w:rsidRPr="000D1BD6">
          <w:rPr>
            <w:rFonts w:ascii="Times New Roman" w:hAnsi="Times New Roman" w:cs="Times New Roman"/>
            <w:noProof/>
            <w:webHidden/>
          </w:rPr>
          <w:fldChar w:fldCharType="begin"/>
        </w:r>
        <w:r w:rsidR="000B30EF" w:rsidRPr="000D1BD6">
          <w:rPr>
            <w:rFonts w:ascii="Times New Roman" w:hAnsi="Times New Roman" w:cs="Times New Roman"/>
            <w:noProof/>
            <w:webHidden/>
          </w:rPr>
          <w:instrText xml:space="preserve"> PAGEREF _Toc518671703 \h </w:instrText>
        </w:r>
        <w:r w:rsidRPr="000D1BD6">
          <w:rPr>
            <w:rFonts w:ascii="Times New Roman" w:hAnsi="Times New Roman" w:cs="Times New Roman"/>
            <w:noProof/>
            <w:webHidden/>
          </w:rPr>
        </w:r>
        <w:r w:rsidRPr="000D1BD6">
          <w:rPr>
            <w:rFonts w:ascii="Times New Roman" w:hAnsi="Times New Roman" w:cs="Times New Roman"/>
            <w:noProof/>
            <w:webHidden/>
          </w:rPr>
          <w:fldChar w:fldCharType="separate"/>
        </w:r>
        <w:r w:rsidR="00002397">
          <w:rPr>
            <w:rFonts w:ascii="Times New Roman" w:hAnsi="Times New Roman" w:cs="Times New Roman"/>
            <w:noProof/>
            <w:webHidden/>
          </w:rPr>
          <w:t>9</w:t>
        </w:r>
        <w:r w:rsidRPr="000D1BD6">
          <w:rPr>
            <w:rFonts w:ascii="Times New Roman" w:hAnsi="Times New Roman" w:cs="Times New Roman"/>
            <w:noProof/>
            <w:webHidden/>
          </w:rPr>
          <w:fldChar w:fldCharType="end"/>
        </w:r>
      </w:hyperlink>
    </w:p>
    <w:p w:rsidR="000B30EF" w:rsidRPr="000D1BD6" w:rsidRDefault="007E0BA0">
      <w:pPr>
        <w:pStyle w:val="TM2"/>
        <w:tabs>
          <w:tab w:val="right" w:leader="dot" w:pos="9062"/>
        </w:tabs>
        <w:rPr>
          <w:rFonts w:ascii="Times New Roman" w:eastAsiaTheme="minorEastAsia" w:hAnsi="Times New Roman" w:cs="Times New Roman"/>
          <w:b w:val="0"/>
          <w:bCs w:val="0"/>
          <w:noProof/>
          <w:sz w:val="24"/>
          <w:szCs w:val="24"/>
          <w:lang w:eastAsia="fr-FR"/>
        </w:rPr>
      </w:pPr>
      <w:hyperlink w:anchor="_Toc518671704" w:history="1">
        <w:r w:rsidR="000B30EF" w:rsidRPr="000D1BD6">
          <w:rPr>
            <w:rStyle w:val="Lienhypertexte"/>
            <w:rFonts w:ascii="Times New Roman" w:hAnsi="Times New Roman" w:cs="Times New Roman"/>
            <w:noProof/>
            <w:sz w:val="24"/>
            <w:szCs w:val="24"/>
          </w:rPr>
          <w:t>CHAPITRE I : LES OUTILS DE MISE EN ŒUVRE DU RENVOI PREJUDICIEL</w:t>
        </w:r>
        <w:r w:rsidR="000B30EF" w:rsidRPr="000D1BD6">
          <w:rPr>
            <w:rFonts w:ascii="Times New Roman" w:hAnsi="Times New Roman" w:cs="Times New Roman"/>
            <w:noProof/>
            <w:webHidden/>
            <w:sz w:val="24"/>
            <w:szCs w:val="24"/>
          </w:rPr>
          <w:tab/>
        </w:r>
        <w:r w:rsidRPr="000D1BD6">
          <w:rPr>
            <w:rFonts w:ascii="Times New Roman" w:hAnsi="Times New Roman" w:cs="Times New Roman"/>
            <w:noProof/>
            <w:webHidden/>
            <w:sz w:val="24"/>
            <w:szCs w:val="24"/>
          </w:rPr>
          <w:fldChar w:fldCharType="begin"/>
        </w:r>
        <w:r w:rsidR="000B30EF" w:rsidRPr="000D1BD6">
          <w:rPr>
            <w:rFonts w:ascii="Times New Roman" w:hAnsi="Times New Roman" w:cs="Times New Roman"/>
            <w:noProof/>
            <w:webHidden/>
            <w:sz w:val="24"/>
            <w:szCs w:val="24"/>
          </w:rPr>
          <w:instrText xml:space="preserve"> PAGEREF _Toc518671704 \h </w:instrText>
        </w:r>
        <w:r w:rsidRPr="000D1BD6">
          <w:rPr>
            <w:rFonts w:ascii="Times New Roman" w:hAnsi="Times New Roman" w:cs="Times New Roman"/>
            <w:noProof/>
            <w:webHidden/>
            <w:sz w:val="24"/>
            <w:szCs w:val="24"/>
          </w:rPr>
        </w:r>
        <w:r w:rsidRPr="000D1BD6">
          <w:rPr>
            <w:rFonts w:ascii="Times New Roman" w:hAnsi="Times New Roman" w:cs="Times New Roman"/>
            <w:noProof/>
            <w:webHidden/>
            <w:sz w:val="24"/>
            <w:szCs w:val="24"/>
          </w:rPr>
          <w:fldChar w:fldCharType="separate"/>
        </w:r>
        <w:r w:rsidR="00002397">
          <w:rPr>
            <w:rFonts w:ascii="Times New Roman" w:hAnsi="Times New Roman" w:cs="Times New Roman"/>
            <w:noProof/>
            <w:webHidden/>
            <w:sz w:val="24"/>
            <w:szCs w:val="24"/>
          </w:rPr>
          <w:t>10</w:t>
        </w:r>
        <w:r w:rsidRPr="000D1BD6">
          <w:rPr>
            <w:rFonts w:ascii="Times New Roman" w:hAnsi="Times New Roman" w:cs="Times New Roman"/>
            <w:noProof/>
            <w:webHidden/>
            <w:sz w:val="24"/>
            <w:szCs w:val="24"/>
          </w:rPr>
          <w:fldChar w:fldCharType="end"/>
        </w:r>
      </w:hyperlink>
    </w:p>
    <w:p w:rsidR="000B30EF" w:rsidRPr="000D1BD6" w:rsidRDefault="007E0BA0">
      <w:pPr>
        <w:pStyle w:val="TM3"/>
        <w:tabs>
          <w:tab w:val="right" w:leader="dot" w:pos="9062"/>
        </w:tabs>
        <w:rPr>
          <w:rFonts w:ascii="Times New Roman" w:eastAsiaTheme="minorEastAsia" w:hAnsi="Times New Roman" w:cs="Times New Roman"/>
          <w:noProof/>
          <w:sz w:val="24"/>
          <w:szCs w:val="24"/>
          <w:lang w:eastAsia="fr-FR"/>
        </w:rPr>
      </w:pPr>
      <w:hyperlink w:anchor="_Toc518671705" w:history="1">
        <w:r w:rsidR="000B30EF" w:rsidRPr="000D1BD6">
          <w:rPr>
            <w:rStyle w:val="Lienhypertexte"/>
            <w:rFonts w:ascii="Times New Roman" w:hAnsi="Times New Roman" w:cs="Times New Roman"/>
            <w:noProof/>
            <w:sz w:val="24"/>
            <w:szCs w:val="24"/>
          </w:rPr>
          <w:t>SECTION I : LES NORMES COMMUNAUTAIRES SUSCEPTIBLES DE RECOURS PREJUDICIEL</w:t>
        </w:r>
        <w:r w:rsidR="000B30EF" w:rsidRPr="000D1BD6">
          <w:rPr>
            <w:rFonts w:ascii="Times New Roman" w:hAnsi="Times New Roman" w:cs="Times New Roman"/>
            <w:noProof/>
            <w:webHidden/>
            <w:sz w:val="24"/>
            <w:szCs w:val="24"/>
          </w:rPr>
          <w:tab/>
        </w:r>
        <w:r w:rsidRPr="000D1BD6">
          <w:rPr>
            <w:rFonts w:ascii="Times New Roman" w:hAnsi="Times New Roman" w:cs="Times New Roman"/>
            <w:noProof/>
            <w:webHidden/>
            <w:sz w:val="24"/>
            <w:szCs w:val="24"/>
          </w:rPr>
          <w:fldChar w:fldCharType="begin"/>
        </w:r>
        <w:r w:rsidR="000B30EF" w:rsidRPr="000D1BD6">
          <w:rPr>
            <w:rFonts w:ascii="Times New Roman" w:hAnsi="Times New Roman" w:cs="Times New Roman"/>
            <w:noProof/>
            <w:webHidden/>
            <w:sz w:val="24"/>
            <w:szCs w:val="24"/>
          </w:rPr>
          <w:instrText xml:space="preserve"> PAGEREF _Toc518671705 \h </w:instrText>
        </w:r>
        <w:r w:rsidRPr="000D1BD6">
          <w:rPr>
            <w:rFonts w:ascii="Times New Roman" w:hAnsi="Times New Roman" w:cs="Times New Roman"/>
            <w:noProof/>
            <w:webHidden/>
            <w:sz w:val="24"/>
            <w:szCs w:val="24"/>
          </w:rPr>
        </w:r>
        <w:r w:rsidRPr="000D1BD6">
          <w:rPr>
            <w:rFonts w:ascii="Times New Roman" w:hAnsi="Times New Roman" w:cs="Times New Roman"/>
            <w:noProof/>
            <w:webHidden/>
            <w:sz w:val="24"/>
            <w:szCs w:val="24"/>
          </w:rPr>
          <w:fldChar w:fldCharType="separate"/>
        </w:r>
        <w:r w:rsidR="00002397">
          <w:rPr>
            <w:rFonts w:ascii="Times New Roman" w:hAnsi="Times New Roman" w:cs="Times New Roman"/>
            <w:noProof/>
            <w:webHidden/>
            <w:sz w:val="24"/>
            <w:szCs w:val="24"/>
          </w:rPr>
          <w:t>10</w:t>
        </w:r>
        <w:r w:rsidRPr="000D1BD6">
          <w:rPr>
            <w:rFonts w:ascii="Times New Roman" w:hAnsi="Times New Roman" w:cs="Times New Roman"/>
            <w:noProof/>
            <w:webHidden/>
            <w:sz w:val="24"/>
            <w:szCs w:val="24"/>
          </w:rPr>
          <w:fldChar w:fldCharType="end"/>
        </w:r>
      </w:hyperlink>
    </w:p>
    <w:p w:rsidR="000B30EF" w:rsidRPr="000D1BD6" w:rsidRDefault="007E0BA0">
      <w:pPr>
        <w:pStyle w:val="TM3"/>
        <w:tabs>
          <w:tab w:val="right" w:leader="dot" w:pos="9062"/>
        </w:tabs>
        <w:rPr>
          <w:rFonts w:ascii="Times New Roman" w:eastAsiaTheme="minorEastAsia" w:hAnsi="Times New Roman" w:cs="Times New Roman"/>
          <w:noProof/>
          <w:sz w:val="24"/>
          <w:szCs w:val="24"/>
          <w:lang w:eastAsia="fr-FR"/>
        </w:rPr>
      </w:pPr>
      <w:hyperlink w:anchor="_Toc518671706" w:history="1">
        <w:r w:rsidR="000B30EF" w:rsidRPr="000D1BD6">
          <w:rPr>
            <w:rStyle w:val="Lienhypertexte"/>
            <w:rFonts w:ascii="Times New Roman" w:hAnsi="Times New Roman" w:cs="Times New Roman"/>
            <w:noProof/>
            <w:sz w:val="24"/>
            <w:szCs w:val="24"/>
          </w:rPr>
          <w:t>SECTION II : LES ORGANES INTERVENANTS DANS LA MISE EN ŒUVRE DU RENVOI PREJUDICIEL</w:t>
        </w:r>
        <w:r w:rsidR="000B30EF" w:rsidRPr="000D1BD6">
          <w:rPr>
            <w:rFonts w:ascii="Times New Roman" w:hAnsi="Times New Roman" w:cs="Times New Roman"/>
            <w:noProof/>
            <w:webHidden/>
            <w:sz w:val="24"/>
            <w:szCs w:val="24"/>
          </w:rPr>
          <w:tab/>
        </w:r>
        <w:r w:rsidRPr="000D1BD6">
          <w:rPr>
            <w:rFonts w:ascii="Times New Roman" w:hAnsi="Times New Roman" w:cs="Times New Roman"/>
            <w:noProof/>
            <w:webHidden/>
            <w:sz w:val="24"/>
            <w:szCs w:val="24"/>
          </w:rPr>
          <w:fldChar w:fldCharType="begin"/>
        </w:r>
        <w:r w:rsidR="000B30EF" w:rsidRPr="000D1BD6">
          <w:rPr>
            <w:rFonts w:ascii="Times New Roman" w:hAnsi="Times New Roman" w:cs="Times New Roman"/>
            <w:noProof/>
            <w:webHidden/>
            <w:sz w:val="24"/>
            <w:szCs w:val="24"/>
          </w:rPr>
          <w:instrText xml:space="preserve"> PAGEREF _Toc518671706 \h </w:instrText>
        </w:r>
        <w:r w:rsidRPr="000D1BD6">
          <w:rPr>
            <w:rFonts w:ascii="Times New Roman" w:hAnsi="Times New Roman" w:cs="Times New Roman"/>
            <w:noProof/>
            <w:webHidden/>
            <w:sz w:val="24"/>
            <w:szCs w:val="24"/>
          </w:rPr>
        </w:r>
        <w:r w:rsidRPr="000D1BD6">
          <w:rPr>
            <w:rFonts w:ascii="Times New Roman" w:hAnsi="Times New Roman" w:cs="Times New Roman"/>
            <w:noProof/>
            <w:webHidden/>
            <w:sz w:val="24"/>
            <w:szCs w:val="24"/>
          </w:rPr>
          <w:fldChar w:fldCharType="separate"/>
        </w:r>
        <w:r w:rsidR="00002397">
          <w:rPr>
            <w:rFonts w:ascii="Times New Roman" w:hAnsi="Times New Roman" w:cs="Times New Roman"/>
            <w:noProof/>
            <w:webHidden/>
            <w:sz w:val="24"/>
            <w:szCs w:val="24"/>
          </w:rPr>
          <w:t>18</w:t>
        </w:r>
        <w:r w:rsidRPr="000D1BD6">
          <w:rPr>
            <w:rFonts w:ascii="Times New Roman" w:hAnsi="Times New Roman" w:cs="Times New Roman"/>
            <w:noProof/>
            <w:webHidden/>
            <w:sz w:val="24"/>
            <w:szCs w:val="24"/>
          </w:rPr>
          <w:fldChar w:fldCharType="end"/>
        </w:r>
      </w:hyperlink>
    </w:p>
    <w:p w:rsidR="000B30EF" w:rsidRPr="000D1BD6" w:rsidRDefault="007E0BA0">
      <w:pPr>
        <w:pStyle w:val="TM2"/>
        <w:tabs>
          <w:tab w:val="right" w:leader="dot" w:pos="9062"/>
        </w:tabs>
        <w:rPr>
          <w:rFonts w:ascii="Times New Roman" w:eastAsiaTheme="minorEastAsia" w:hAnsi="Times New Roman" w:cs="Times New Roman"/>
          <w:b w:val="0"/>
          <w:bCs w:val="0"/>
          <w:noProof/>
          <w:sz w:val="24"/>
          <w:szCs w:val="24"/>
          <w:lang w:eastAsia="fr-FR"/>
        </w:rPr>
      </w:pPr>
      <w:hyperlink w:anchor="_Toc518671707" w:history="1">
        <w:r w:rsidR="000B30EF" w:rsidRPr="000D1BD6">
          <w:rPr>
            <w:rStyle w:val="Lienhypertexte"/>
            <w:rFonts w:ascii="Times New Roman" w:hAnsi="Times New Roman" w:cs="Times New Roman"/>
            <w:noProof/>
            <w:sz w:val="24"/>
            <w:szCs w:val="24"/>
          </w:rPr>
          <w:t>CHAPITRE II : L’INSTANCE PREJUDICIELLE</w:t>
        </w:r>
        <w:r w:rsidR="000B30EF" w:rsidRPr="000D1BD6">
          <w:rPr>
            <w:rFonts w:ascii="Times New Roman" w:hAnsi="Times New Roman" w:cs="Times New Roman"/>
            <w:noProof/>
            <w:webHidden/>
            <w:sz w:val="24"/>
            <w:szCs w:val="24"/>
          </w:rPr>
          <w:tab/>
        </w:r>
        <w:r w:rsidRPr="000D1BD6">
          <w:rPr>
            <w:rFonts w:ascii="Times New Roman" w:hAnsi="Times New Roman" w:cs="Times New Roman"/>
            <w:noProof/>
            <w:webHidden/>
            <w:sz w:val="24"/>
            <w:szCs w:val="24"/>
          </w:rPr>
          <w:fldChar w:fldCharType="begin"/>
        </w:r>
        <w:r w:rsidR="000B30EF" w:rsidRPr="000D1BD6">
          <w:rPr>
            <w:rFonts w:ascii="Times New Roman" w:hAnsi="Times New Roman" w:cs="Times New Roman"/>
            <w:noProof/>
            <w:webHidden/>
            <w:sz w:val="24"/>
            <w:szCs w:val="24"/>
          </w:rPr>
          <w:instrText xml:space="preserve"> PAGEREF _Toc518671707 \h </w:instrText>
        </w:r>
        <w:r w:rsidRPr="000D1BD6">
          <w:rPr>
            <w:rFonts w:ascii="Times New Roman" w:hAnsi="Times New Roman" w:cs="Times New Roman"/>
            <w:noProof/>
            <w:webHidden/>
            <w:sz w:val="24"/>
            <w:szCs w:val="24"/>
          </w:rPr>
        </w:r>
        <w:r w:rsidRPr="000D1BD6">
          <w:rPr>
            <w:rFonts w:ascii="Times New Roman" w:hAnsi="Times New Roman" w:cs="Times New Roman"/>
            <w:noProof/>
            <w:webHidden/>
            <w:sz w:val="24"/>
            <w:szCs w:val="24"/>
          </w:rPr>
          <w:fldChar w:fldCharType="separate"/>
        </w:r>
        <w:r w:rsidR="00002397">
          <w:rPr>
            <w:rFonts w:ascii="Times New Roman" w:hAnsi="Times New Roman" w:cs="Times New Roman"/>
            <w:noProof/>
            <w:webHidden/>
            <w:sz w:val="24"/>
            <w:szCs w:val="24"/>
          </w:rPr>
          <w:t>28</w:t>
        </w:r>
        <w:r w:rsidRPr="000D1BD6">
          <w:rPr>
            <w:rFonts w:ascii="Times New Roman" w:hAnsi="Times New Roman" w:cs="Times New Roman"/>
            <w:noProof/>
            <w:webHidden/>
            <w:sz w:val="24"/>
            <w:szCs w:val="24"/>
          </w:rPr>
          <w:fldChar w:fldCharType="end"/>
        </w:r>
      </w:hyperlink>
    </w:p>
    <w:p w:rsidR="000B30EF" w:rsidRPr="000D1BD6" w:rsidRDefault="007E0BA0">
      <w:pPr>
        <w:pStyle w:val="TM3"/>
        <w:tabs>
          <w:tab w:val="right" w:leader="dot" w:pos="9062"/>
        </w:tabs>
        <w:rPr>
          <w:rFonts w:ascii="Times New Roman" w:eastAsiaTheme="minorEastAsia" w:hAnsi="Times New Roman" w:cs="Times New Roman"/>
          <w:noProof/>
          <w:sz w:val="24"/>
          <w:szCs w:val="24"/>
          <w:lang w:eastAsia="fr-FR"/>
        </w:rPr>
      </w:pPr>
      <w:hyperlink w:anchor="_Toc518671708" w:history="1">
        <w:r w:rsidR="000B30EF" w:rsidRPr="000D1BD6">
          <w:rPr>
            <w:rStyle w:val="Lienhypertexte"/>
            <w:rFonts w:ascii="Times New Roman" w:hAnsi="Times New Roman" w:cs="Times New Roman"/>
            <w:noProof/>
            <w:sz w:val="24"/>
            <w:szCs w:val="24"/>
          </w:rPr>
          <w:t>SECTION I : LES CONDITIONS DE DECLENCHEMENT DE L’INSTANCE PREJUDICIELLE</w:t>
        </w:r>
        <w:r w:rsidR="000B30EF" w:rsidRPr="000D1BD6">
          <w:rPr>
            <w:rFonts w:ascii="Times New Roman" w:hAnsi="Times New Roman" w:cs="Times New Roman"/>
            <w:noProof/>
            <w:webHidden/>
            <w:sz w:val="24"/>
            <w:szCs w:val="24"/>
          </w:rPr>
          <w:tab/>
        </w:r>
        <w:r w:rsidRPr="000D1BD6">
          <w:rPr>
            <w:rFonts w:ascii="Times New Roman" w:hAnsi="Times New Roman" w:cs="Times New Roman"/>
            <w:noProof/>
            <w:webHidden/>
            <w:sz w:val="24"/>
            <w:szCs w:val="24"/>
          </w:rPr>
          <w:fldChar w:fldCharType="begin"/>
        </w:r>
        <w:r w:rsidR="000B30EF" w:rsidRPr="000D1BD6">
          <w:rPr>
            <w:rFonts w:ascii="Times New Roman" w:hAnsi="Times New Roman" w:cs="Times New Roman"/>
            <w:noProof/>
            <w:webHidden/>
            <w:sz w:val="24"/>
            <w:szCs w:val="24"/>
          </w:rPr>
          <w:instrText xml:space="preserve"> PAGEREF _Toc518671708 \h </w:instrText>
        </w:r>
        <w:r w:rsidRPr="000D1BD6">
          <w:rPr>
            <w:rFonts w:ascii="Times New Roman" w:hAnsi="Times New Roman" w:cs="Times New Roman"/>
            <w:noProof/>
            <w:webHidden/>
            <w:sz w:val="24"/>
            <w:szCs w:val="24"/>
          </w:rPr>
        </w:r>
        <w:r w:rsidRPr="000D1BD6">
          <w:rPr>
            <w:rFonts w:ascii="Times New Roman" w:hAnsi="Times New Roman" w:cs="Times New Roman"/>
            <w:noProof/>
            <w:webHidden/>
            <w:sz w:val="24"/>
            <w:szCs w:val="24"/>
          </w:rPr>
          <w:fldChar w:fldCharType="separate"/>
        </w:r>
        <w:r w:rsidR="00002397">
          <w:rPr>
            <w:rFonts w:ascii="Times New Roman" w:hAnsi="Times New Roman" w:cs="Times New Roman"/>
            <w:noProof/>
            <w:webHidden/>
            <w:sz w:val="24"/>
            <w:szCs w:val="24"/>
          </w:rPr>
          <w:t>28</w:t>
        </w:r>
        <w:r w:rsidRPr="000D1BD6">
          <w:rPr>
            <w:rFonts w:ascii="Times New Roman" w:hAnsi="Times New Roman" w:cs="Times New Roman"/>
            <w:noProof/>
            <w:webHidden/>
            <w:sz w:val="24"/>
            <w:szCs w:val="24"/>
          </w:rPr>
          <w:fldChar w:fldCharType="end"/>
        </w:r>
      </w:hyperlink>
    </w:p>
    <w:p w:rsidR="000B30EF" w:rsidRPr="000D1BD6" w:rsidRDefault="007E0BA0">
      <w:pPr>
        <w:pStyle w:val="TM3"/>
        <w:tabs>
          <w:tab w:val="right" w:leader="dot" w:pos="9062"/>
        </w:tabs>
        <w:rPr>
          <w:rFonts w:ascii="Times New Roman" w:eastAsiaTheme="minorEastAsia" w:hAnsi="Times New Roman" w:cs="Times New Roman"/>
          <w:noProof/>
          <w:sz w:val="24"/>
          <w:szCs w:val="24"/>
          <w:lang w:eastAsia="fr-FR"/>
        </w:rPr>
      </w:pPr>
      <w:hyperlink w:anchor="_Toc518671709" w:history="1">
        <w:r w:rsidR="000B30EF" w:rsidRPr="000D1BD6">
          <w:rPr>
            <w:rStyle w:val="Lienhypertexte"/>
            <w:rFonts w:ascii="Times New Roman" w:hAnsi="Times New Roman" w:cs="Times New Roman"/>
            <w:noProof/>
            <w:sz w:val="24"/>
            <w:szCs w:val="24"/>
          </w:rPr>
          <w:t>SECTION II : LA MISE EN ŒUVRE DE L’INSTANCE PREJUDICIELLE</w:t>
        </w:r>
        <w:r w:rsidR="000B30EF" w:rsidRPr="000D1BD6">
          <w:rPr>
            <w:rFonts w:ascii="Times New Roman" w:hAnsi="Times New Roman" w:cs="Times New Roman"/>
            <w:noProof/>
            <w:webHidden/>
            <w:sz w:val="24"/>
            <w:szCs w:val="24"/>
          </w:rPr>
          <w:tab/>
        </w:r>
        <w:r w:rsidRPr="000D1BD6">
          <w:rPr>
            <w:rFonts w:ascii="Times New Roman" w:hAnsi="Times New Roman" w:cs="Times New Roman"/>
            <w:noProof/>
            <w:webHidden/>
            <w:sz w:val="24"/>
            <w:szCs w:val="24"/>
          </w:rPr>
          <w:fldChar w:fldCharType="begin"/>
        </w:r>
        <w:r w:rsidR="000B30EF" w:rsidRPr="000D1BD6">
          <w:rPr>
            <w:rFonts w:ascii="Times New Roman" w:hAnsi="Times New Roman" w:cs="Times New Roman"/>
            <w:noProof/>
            <w:webHidden/>
            <w:sz w:val="24"/>
            <w:szCs w:val="24"/>
          </w:rPr>
          <w:instrText xml:space="preserve"> PAGEREF _Toc518671709 \h </w:instrText>
        </w:r>
        <w:r w:rsidRPr="000D1BD6">
          <w:rPr>
            <w:rFonts w:ascii="Times New Roman" w:hAnsi="Times New Roman" w:cs="Times New Roman"/>
            <w:noProof/>
            <w:webHidden/>
            <w:sz w:val="24"/>
            <w:szCs w:val="24"/>
          </w:rPr>
        </w:r>
        <w:r w:rsidRPr="000D1BD6">
          <w:rPr>
            <w:rFonts w:ascii="Times New Roman" w:hAnsi="Times New Roman" w:cs="Times New Roman"/>
            <w:noProof/>
            <w:webHidden/>
            <w:sz w:val="24"/>
            <w:szCs w:val="24"/>
          </w:rPr>
          <w:fldChar w:fldCharType="separate"/>
        </w:r>
        <w:r w:rsidR="00002397">
          <w:rPr>
            <w:rFonts w:ascii="Times New Roman" w:hAnsi="Times New Roman" w:cs="Times New Roman"/>
            <w:noProof/>
            <w:webHidden/>
            <w:sz w:val="24"/>
            <w:szCs w:val="24"/>
          </w:rPr>
          <w:t>35</w:t>
        </w:r>
        <w:r w:rsidRPr="000D1BD6">
          <w:rPr>
            <w:rFonts w:ascii="Times New Roman" w:hAnsi="Times New Roman" w:cs="Times New Roman"/>
            <w:noProof/>
            <w:webHidden/>
            <w:sz w:val="24"/>
            <w:szCs w:val="24"/>
          </w:rPr>
          <w:fldChar w:fldCharType="end"/>
        </w:r>
      </w:hyperlink>
    </w:p>
    <w:p w:rsidR="000B30EF" w:rsidRPr="000D1BD6" w:rsidRDefault="007E0BA0">
      <w:pPr>
        <w:pStyle w:val="TM1"/>
        <w:tabs>
          <w:tab w:val="right" w:leader="dot" w:pos="9062"/>
        </w:tabs>
        <w:rPr>
          <w:rFonts w:ascii="Times New Roman" w:eastAsiaTheme="minorEastAsia" w:hAnsi="Times New Roman" w:cs="Times New Roman"/>
          <w:b w:val="0"/>
          <w:bCs w:val="0"/>
          <w:i w:val="0"/>
          <w:iCs w:val="0"/>
          <w:noProof/>
          <w:lang w:eastAsia="fr-FR"/>
        </w:rPr>
      </w:pPr>
      <w:hyperlink w:anchor="_Toc518671710" w:history="1">
        <w:r w:rsidR="000B30EF" w:rsidRPr="000D1BD6">
          <w:rPr>
            <w:rStyle w:val="Lienhypertexte"/>
            <w:rFonts w:ascii="Times New Roman" w:hAnsi="Times New Roman" w:cs="Times New Roman"/>
            <w:noProof/>
          </w:rPr>
          <w:t>CONCLUSION DU TITRE I</w:t>
        </w:r>
        <w:r w:rsidR="000B30EF" w:rsidRPr="000D1BD6">
          <w:rPr>
            <w:rFonts w:ascii="Times New Roman" w:hAnsi="Times New Roman" w:cs="Times New Roman"/>
            <w:noProof/>
            <w:webHidden/>
          </w:rPr>
          <w:tab/>
        </w:r>
        <w:r w:rsidRPr="000D1BD6">
          <w:rPr>
            <w:rFonts w:ascii="Times New Roman" w:hAnsi="Times New Roman" w:cs="Times New Roman"/>
            <w:noProof/>
            <w:webHidden/>
          </w:rPr>
          <w:fldChar w:fldCharType="begin"/>
        </w:r>
        <w:r w:rsidR="000B30EF" w:rsidRPr="000D1BD6">
          <w:rPr>
            <w:rFonts w:ascii="Times New Roman" w:hAnsi="Times New Roman" w:cs="Times New Roman"/>
            <w:noProof/>
            <w:webHidden/>
          </w:rPr>
          <w:instrText xml:space="preserve"> PAGEREF _Toc518671710 \h </w:instrText>
        </w:r>
        <w:r w:rsidRPr="000D1BD6">
          <w:rPr>
            <w:rFonts w:ascii="Times New Roman" w:hAnsi="Times New Roman" w:cs="Times New Roman"/>
            <w:noProof/>
            <w:webHidden/>
          </w:rPr>
        </w:r>
        <w:r w:rsidRPr="000D1BD6">
          <w:rPr>
            <w:rFonts w:ascii="Times New Roman" w:hAnsi="Times New Roman" w:cs="Times New Roman"/>
            <w:noProof/>
            <w:webHidden/>
          </w:rPr>
          <w:fldChar w:fldCharType="separate"/>
        </w:r>
        <w:r w:rsidR="00002397">
          <w:rPr>
            <w:rFonts w:ascii="Times New Roman" w:hAnsi="Times New Roman" w:cs="Times New Roman"/>
            <w:noProof/>
            <w:webHidden/>
          </w:rPr>
          <w:t>44</w:t>
        </w:r>
        <w:r w:rsidRPr="000D1BD6">
          <w:rPr>
            <w:rFonts w:ascii="Times New Roman" w:hAnsi="Times New Roman" w:cs="Times New Roman"/>
            <w:noProof/>
            <w:webHidden/>
          </w:rPr>
          <w:fldChar w:fldCharType="end"/>
        </w:r>
      </w:hyperlink>
    </w:p>
    <w:p w:rsidR="000B30EF" w:rsidRPr="000D1BD6" w:rsidRDefault="007E0BA0">
      <w:pPr>
        <w:pStyle w:val="TM1"/>
        <w:tabs>
          <w:tab w:val="right" w:leader="dot" w:pos="9062"/>
        </w:tabs>
        <w:rPr>
          <w:rFonts w:ascii="Times New Roman" w:eastAsiaTheme="minorEastAsia" w:hAnsi="Times New Roman" w:cs="Times New Roman"/>
          <w:b w:val="0"/>
          <w:bCs w:val="0"/>
          <w:i w:val="0"/>
          <w:iCs w:val="0"/>
          <w:noProof/>
          <w:lang w:eastAsia="fr-FR"/>
        </w:rPr>
      </w:pPr>
      <w:hyperlink w:anchor="_Toc518671711" w:history="1">
        <w:r w:rsidR="000B30EF" w:rsidRPr="000D1BD6">
          <w:rPr>
            <w:rStyle w:val="Lienhypertexte"/>
            <w:rFonts w:ascii="Times New Roman" w:hAnsi="Times New Roman" w:cs="Times New Roman"/>
            <w:noProof/>
          </w:rPr>
          <w:t>TITRE II : UN RENVOI PRATIQUEMENT INEXPLOITE</w:t>
        </w:r>
        <w:r w:rsidR="000B30EF" w:rsidRPr="000D1BD6">
          <w:rPr>
            <w:rFonts w:ascii="Times New Roman" w:hAnsi="Times New Roman" w:cs="Times New Roman"/>
            <w:noProof/>
            <w:webHidden/>
          </w:rPr>
          <w:tab/>
        </w:r>
        <w:r w:rsidRPr="000D1BD6">
          <w:rPr>
            <w:rFonts w:ascii="Times New Roman" w:hAnsi="Times New Roman" w:cs="Times New Roman"/>
            <w:noProof/>
            <w:webHidden/>
          </w:rPr>
          <w:fldChar w:fldCharType="begin"/>
        </w:r>
        <w:r w:rsidR="000B30EF" w:rsidRPr="000D1BD6">
          <w:rPr>
            <w:rFonts w:ascii="Times New Roman" w:hAnsi="Times New Roman" w:cs="Times New Roman"/>
            <w:noProof/>
            <w:webHidden/>
          </w:rPr>
          <w:instrText xml:space="preserve"> PAGEREF _Toc518671711 \h </w:instrText>
        </w:r>
        <w:r w:rsidRPr="000D1BD6">
          <w:rPr>
            <w:rFonts w:ascii="Times New Roman" w:hAnsi="Times New Roman" w:cs="Times New Roman"/>
            <w:noProof/>
            <w:webHidden/>
          </w:rPr>
        </w:r>
        <w:r w:rsidRPr="000D1BD6">
          <w:rPr>
            <w:rFonts w:ascii="Times New Roman" w:hAnsi="Times New Roman" w:cs="Times New Roman"/>
            <w:noProof/>
            <w:webHidden/>
          </w:rPr>
          <w:fldChar w:fldCharType="separate"/>
        </w:r>
        <w:r w:rsidR="00002397">
          <w:rPr>
            <w:rFonts w:ascii="Times New Roman" w:hAnsi="Times New Roman" w:cs="Times New Roman"/>
            <w:noProof/>
            <w:webHidden/>
          </w:rPr>
          <w:t>45</w:t>
        </w:r>
        <w:r w:rsidRPr="000D1BD6">
          <w:rPr>
            <w:rFonts w:ascii="Times New Roman" w:hAnsi="Times New Roman" w:cs="Times New Roman"/>
            <w:noProof/>
            <w:webHidden/>
          </w:rPr>
          <w:fldChar w:fldCharType="end"/>
        </w:r>
      </w:hyperlink>
    </w:p>
    <w:p w:rsidR="000B30EF" w:rsidRPr="000D1BD6" w:rsidRDefault="007E0BA0">
      <w:pPr>
        <w:pStyle w:val="TM2"/>
        <w:tabs>
          <w:tab w:val="right" w:leader="dot" w:pos="9062"/>
        </w:tabs>
        <w:rPr>
          <w:rFonts w:ascii="Times New Roman" w:eastAsiaTheme="minorEastAsia" w:hAnsi="Times New Roman" w:cs="Times New Roman"/>
          <w:b w:val="0"/>
          <w:bCs w:val="0"/>
          <w:noProof/>
          <w:sz w:val="24"/>
          <w:szCs w:val="24"/>
          <w:lang w:eastAsia="fr-FR"/>
        </w:rPr>
      </w:pPr>
      <w:hyperlink w:anchor="_Toc518671712" w:history="1">
        <w:r w:rsidR="000B30EF" w:rsidRPr="000D1BD6">
          <w:rPr>
            <w:rStyle w:val="Lienhypertexte"/>
            <w:rFonts w:ascii="Times New Roman" w:hAnsi="Times New Roman" w:cs="Times New Roman"/>
            <w:noProof/>
            <w:sz w:val="24"/>
            <w:szCs w:val="24"/>
          </w:rPr>
          <w:t>CHAPITRE I : LES ENTRAVES PROCEDURALES EMPECHANT LE RECOURS AU RENVOI PREJUDICIEL</w:t>
        </w:r>
        <w:r w:rsidR="000B30EF" w:rsidRPr="000D1BD6">
          <w:rPr>
            <w:rFonts w:ascii="Times New Roman" w:hAnsi="Times New Roman" w:cs="Times New Roman"/>
            <w:noProof/>
            <w:webHidden/>
            <w:sz w:val="24"/>
            <w:szCs w:val="24"/>
          </w:rPr>
          <w:tab/>
        </w:r>
        <w:r w:rsidRPr="000D1BD6">
          <w:rPr>
            <w:rFonts w:ascii="Times New Roman" w:hAnsi="Times New Roman" w:cs="Times New Roman"/>
            <w:noProof/>
            <w:webHidden/>
            <w:sz w:val="24"/>
            <w:szCs w:val="24"/>
          </w:rPr>
          <w:fldChar w:fldCharType="begin"/>
        </w:r>
        <w:r w:rsidR="000B30EF" w:rsidRPr="000D1BD6">
          <w:rPr>
            <w:rFonts w:ascii="Times New Roman" w:hAnsi="Times New Roman" w:cs="Times New Roman"/>
            <w:noProof/>
            <w:webHidden/>
            <w:sz w:val="24"/>
            <w:szCs w:val="24"/>
          </w:rPr>
          <w:instrText xml:space="preserve"> PAGEREF _Toc518671712 \h </w:instrText>
        </w:r>
        <w:r w:rsidRPr="000D1BD6">
          <w:rPr>
            <w:rFonts w:ascii="Times New Roman" w:hAnsi="Times New Roman" w:cs="Times New Roman"/>
            <w:noProof/>
            <w:webHidden/>
            <w:sz w:val="24"/>
            <w:szCs w:val="24"/>
          </w:rPr>
        </w:r>
        <w:r w:rsidRPr="000D1BD6">
          <w:rPr>
            <w:rFonts w:ascii="Times New Roman" w:hAnsi="Times New Roman" w:cs="Times New Roman"/>
            <w:noProof/>
            <w:webHidden/>
            <w:sz w:val="24"/>
            <w:szCs w:val="24"/>
          </w:rPr>
          <w:fldChar w:fldCharType="separate"/>
        </w:r>
        <w:r w:rsidR="00002397">
          <w:rPr>
            <w:rFonts w:ascii="Times New Roman" w:hAnsi="Times New Roman" w:cs="Times New Roman"/>
            <w:noProof/>
            <w:webHidden/>
            <w:sz w:val="24"/>
            <w:szCs w:val="24"/>
          </w:rPr>
          <w:t>46</w:t>
        </w:r>
        <w:r w:rsidRPr="000D1BD6">
          <w:rPr>
            <w:rFonts w:ascii="Times New Roman" w:hAnsi="Times New Roman" w:cs="Times New Roman"/>
            <w:noProof/>
            <w:webHidden/>
            <w:sz w:val="24"/>
            <w:szCs w:val="24"/>
          </w:rPr>
          <w:fldChar w:fldCharType="end"/>
        </w:r>
      </w:hyperlink>
    </w:p>
    <w:p w:rsidR="000B30EF" w:rsidRPr="000D1BD6" w:rsidRDefault="007E0BA0">
      <w:pPr>
        <w:pStyle w:val="TM3"/>
        <w:tabs>
          <w:tab w:val="right" w:leader="dot" w:pos="9062"/>
        </w:tabs>
        <w:rPr>
          <w:rFonts w:ascii="Times New Roman" w:eastAsiaTheme="minorEastAsia" w:hAnsi="Times New Roman" w:cs="Times New Roman"/>
          <w:noProof/>
          <w:sz w:val="24"/>
          <w:szCs w:val="24"/>
          <w:lang w:eastAsia="fr-FR"/>
        </w:rPr>
      </w:pPr>
      <w:hyperlink w:anchor="_Toc518671713" w:history="1">
        <w:r w:rsidR="000B30EF" w:rsidRPr="000D1BD6">
          <w:rPr>
            <w:rStyle w:val="Lienhypertexte"/>
            <w:rFonts w:ascii="Times New Roman" w:hAnsi="Times New Roman" w:cs="Times New Roman"/>
            <w:noProof/>
            <w:sz w:val="24"/>
            <w:szCs w:val="24"/>
          </w:rPr>
          <w:t>SECTION I : LES ENTRAVES LIEES A LA JURIDICTION NATIONALE</w:t>
        </w:r>
        <w:r w:rsidR="000B30EF" w:rsidRPr="000D1BD6">
          <w:rPr>
            <w:rFonts w:ascii="Times New Roman" w:hAnsi="Times New Roman" w:cs="Times New Roman"/>
            <w:noProof/>
            <w:webHidden/>
            <w:sz w:val="24"/>
            <w:szCs w:val="24"/>
          </w:rPr>
          <w:tab/>
        </w:r>
        <w:r w:rsidRPr="000D1BD6">
          <w:rPr>
            <w:rFonts w:ascii="Times New Roman" w:hAnsi="Times New Roman" w:cs="Times New Roman"/>
            <w:noProof/>
            <w:webHidden/>
            <w:sz w:val="24"/>
            <w:szCs w:val="24"/>
          </w:rPr>
          <w:fldChar w:fldCharType="begin"/>
        </w:r>
        <w:r w:rsidR="000B30EF" w:rsidRPr="000D1BD6">
          <w:rPr>
            <w:rFonts w:ascii="Times New Roman" w:hAnsi="Times New Roman" w:cs="Times New Roman"/>
            <w:noProof/>
            <w:webHidden/>
            <w:sz w:val="24"/>
            <w:szCs w:val="24"/>
          </w:rPr>
          <w:instrText xml:space="preserve"> PAGEREF _Toc518671713 \h </w:instrText>
        </w:r>
        <w:r w:rsidRPr="000D1BD6">
          <w:rPr>
            <w:rFonts w:ascii="Times New Roman" w:hAnsi="Times New Roman" w:cs="Times New Roman"/>
            <w:noProof/>
            <w:webHidden/>
            <w:sz w:val="24"/>
            <w:szCs w:val="24"/>
          </w:rPr>
        </w:r>
        <w:r w:rsidRPr="000D1BD6">
          <w:rPr>
            <w:rFonts w:ascii="Times New Roman" w:hAnsi="Times New Roman" w:cs="Times New Roman"/>
            <w:noProof/>
            <w:webHidden/>
            <w:sz w:val="24"/>
            <w:szCs w:val="24"/>
          </w:rPr>
          <w:fldChar w:fldCharType="separate"/>
        </w:r>
        <w:r w:rsidR="00002397">
          <w:rPr>
            <w:rFonts w:ascii="Times New Roman" w:hAnsi="Times New Roman" w:cs="Times New Roman"/>
            <w:noProof/>
            <w:webHidden/>
            <w:sz w:val="24"/>
            <w:szCs w:val="24"/>
          </w:rPr>
          <w:t>46</w:t>
        </w:r>
        <w:r w:rsidRPr="000D1BD6">
          <w:rPr>
            <w:rFonts w:ascii="Times New Roman" w:hAnsi="Times New Roman" w:cs="Times New Roman"/>
            <w:noProof/>
            <w:webHidden/>
            <w:sz w:val="24"/>
            <w:szCs w:val="24"/>
          </w:rPr>
          <w:fldChar w:fldCharType="end"/>
        </w:r>
      </w:hyperlink>
    </w:p>
    <w:p w:rsidR="000B30EF" w:rsidRPr="000D1BD6" w:rsidRDefault="007E0BA0">
      <w:pPr>
        <w:pStyle w:val="TM3"/>
        <w:tabs>
          <w:tab w:val="right" w:leader="dot" w:pos="9062"/>
        </w:tabs>
        <w:rPr>
          <w:rFonts w:ascii="Times New Roman" w:eastAsiaTheme="minorEastAsia" w:hAnsi="Times New Roman" w:cs="Times New Roman"/>
          <w:noProof/>
          <w:sz w:val="24"/>
          <w:szCs w:val="24"/>
          <w:lang w:eastAsia="fr-FR"/>
        </w:rPr>
      </w:pPr>
      <w:hyperlink w:anchor="_Toc518671714" w:history="1">
        <w:r w:rsidR="000B30EF" w:rsidRPr="000D1BD6">
          <w:rPr>
            <w:rStyle w:val="Lienhypertexte"/>
            <w:rFonts w:ascii="Times New Roman" w:hAnsi="Times New Roman" w:cs="Times New Roman"/>
            <w:noProof/>
            <w:sz w:val="24"/>
            <w:szCs w:val="24"/>
          </w:rPr>
          <w:t>SECTION II : LES DIFFICULTES LIEES A LA JURIDICTION COMMUNAUTAIRE</w:t>
        </w:r>
        <w:r w:rsidR="000B30EF" w:rsidRPr="000D1BD6">
          <w:rPr>
            <w:rFonts w:ascii="Times New Roman" w:hAnsi="Times New Roman" w:cs="Times New Roman"/>
            <w:noProof/>
            <w:webHidden/>
            <w:sz w:val="24"/>
            <w:szCs w:val="24"/>
          </w:rPr>
          <w:tab/>
        </w:r>
        <w:r w:rsidRPr="000D1BD6">
          <w:rPr>
            <w:rFonts w:ascii="Times New Roman" w:hAnsi="Times New Roman" w:cs="Times New Roman"/>
            <w:noProof/>
            <w:webHidden/>
            <w:sz w:val="24"/>
            <w:szCs w:val="24"/>
          </w:rPr>
          <w:fldChar w:fldCharType="begin"/>
        </w:r>
        <w:r w:rsidR="000B30EF" w:rsidRPr="000D1BD6">
          <w:rPr>
            <w:rFonts w:ascii="Times New Roman" w:hAnsi="Times New Roman" w:cs="Times New Roman"/>
            <w:noProof/>
            <w:webHidden/>
            <w:sz w:val="24"/>
            <w:szCs w:val="24"/>
          </w:rPr>
          <w:instrText xml:space="preserve"> PAGEREF _Toc518671714 \h </w:instrText>
        </w:r>
        <w:r w:rsidRPr="000D1BD6">
          <w:rPr>
            <w:rFonts w:ascii="Times New Roman" w:hAnsi="Times New Roman" w:cs="Times New Roman"/>
            <w:noProof/>
            <w:webHidden/>
            <w:sz w:val="24"/>
            <w:szCs w:val="24"/>
          </w:rPr>
        </w:r>
        <w:r w:rsidRPr="000D1BD6">
          <w:rPr>
            <w:rFonts w:ascii="Times New Roman" w:hAnsi="Times New Roman" w:cs="Times New Roman"/>
            <w:noProof/>
            <w:webHidden/>
            <w:sz w:val="24"/>
            <w:szCs w:val="24"/>
          </w:rPr>
          <w:fldChar w:fldCharType="separate"/>
        </w:r>
        <w:r w:rsidR="00002397">
          <w:rPr>
            <w:rFonts w:ascii="Times New Roman" w:hAnsi="Times New Roman" w:cs="Times New Roman"/>
            <w:noProof/>
            <w:webHidden/>
            <w:sz w:val="24"/>
            <w:szCs w:val="24"/>
          </w:rPr>
          <w:t>53</w:t>
        </w:r>
        <w:r w:rsidRPr="000D1BD6">
          <w:rPr>
            <w:rFonts w:ascii="Times New Roman" w:hAnsi="Times New Roman" w:cs="Times New Roman"/>
            <w:noProof/>
            <w:webHidden/>
            <w:sz w:val="24"/>
            <w:szCs w:val="24"/>
          </w:rPr>
          <w:fldChar w:fldCharType="end"/>
        </w:r>
      </w:hyperlink>
    </w:p>
    <w:p w:rsidR="000B30EF" w:rsidRPr="000D1BD6" w:rsidRDefault="007E0BA0">
      <w:pPr>
        <w:pStyle w:val="TM2"/>
        <w:tabs>
          <w:tab w:val="right" w:leader="dot" w:pos="9062"/>
        </w:tabs>
        <w:rPr>
          <w:rFonts w:ascii="Times New Roman" w:eastAsiaTheme="minorEastAsia" w:hAnsi="Times New Roman" w:cs="Times New Roman"/>
          <w:b w:val="0"/>
          <w:bCs w:val="0"/>
          <w:noProof/>
          <w:sz w:val="24"/>
          <w:szCs w:val="24"/>
          <w:lang w:eastAsia="fr-FR"/>
        </w:rPr>
      </w:pPr>
      <w:hyperlink w:anchor="_Toc518671715" w:history="1">
        <w:r w:rsidR="000B30EF" w:rsidRPr="000D1BD6">
          <w:rPr>
            <w:rStyle w:val="Lienhypertexte"/>
            <w:rFonts w:ascii="Times New Roman" w:hAnsi="Times New Roman" w:cs="Times New Roman"/>
            <w:noProof/>
            <w:sz w:val="24"/>
            <w:szCs w:val="24"/>
          </w:rPr>
          <w:t>CHAPITRE II : LES ENTRAVES MATERIELLES EMPECHANT LE RECOURS AU RENVOI PREJUDICIEL</w:t>
        </w:r>
        <w:r w:rsidR="000B30EF" w:rsidRPr="000D1BD6">
          <w:rPr>
            <w:rFonts w:ascii="Times New Roman" w:hAnsi="Times New Roman" w:cs="Times New Roman"/>
            <w:noProof/>
            <w:webHidden/>
            <w:sz w:val="24"/>
            <w:szCs w:val="24"/>
          </w:rPr>
          <w:tab/>
        </w:r>
        <w:r w:rsidRPr="000D1BD6">
          <w:rPr>
            <w:rFonts w:ascii="Times New Roman" w:hAnsi="Times New Roman" w:cs="Times New Roman"/>
            <w:noProof/>
            <w:webHidden/>
            <w:sz w:val="24"/>
            <w:szCs w:val="24"/>
          </w:rPr>
          <w:fldChar w:fldCharType="begin"/>
        </w:r>
        <w:r w:rsidR="000B30EF" w:rsidRPr="000D1BD6">
          <w:rPr>
            <w:rFonts w:ascii="Times New Roman" w:hAnsi="Times New Roman" w:cs="Times New Roman"/>
            <w:noProof/>
            <w:webHidden/>
            <w:sz w:val="24"/>
            <w:szCs w:val="24"/>
          </w:rPr>
          <w:instrText xml:space="preserve"> PAGEREF _Toc518671715 \h </w:instrText>
        </w:r>
        <w:r w:rsidRPr="000D1BD6">
          <w:rPr>
            <w:rFonts w:ascii="Times New Roman" w:hAnsi="Times New Roman" w:cs="Times New Roman"/>
            <w:noProof/>
            <w:webHidden/>
            <w:sz w:val="24"/>
            <w:szCs w:val="24"/>
          </w:rPr>
        </w:r>
        <w:r w:rsidRPr="000D1BD6">
          <w:rPr>
            <w:rFonts w:ascii="Times New Roman" w:hAnsi="Times New Roman" w:cs="Times New Roman"/>
            <w:noProof/>
            <w:webHidden/>
            <w:sz w:val="24"/>
            <w:szCs w:val="24"/>
          </w:rPr>
          <w:fldChar w:fldCharType="separate"/>
        </w:r>
        <w:r w:rsidR="00002397">
          <w:rPr>
            <w:rFonts w:ascii="Times New Roman" w:hAnsi="Times New Roman" w:cs="Times New Roman"/>
            <w:noProof/>
            <w:webHidden/>
            <w:sz w:val="24"/>
            <w:szCs w:val="24"/>
          </w:rPr>
          <w:t>61</w:t>
        </w:r>
        <w:r w:rsidRPr="000D1BD6">
          <w:rPr>
            <w:rFonts w:ascii="Times New Roman" w:hAnsi="Times New Roman" w:cs="Times New Roman"/>
            <w:noProof/>
            <w:webHidden/>
            <w:sz w:val="24"/>
            <w:szCs w:val="24"/>
          </w:rPr>
          <w:fldChar w:fldCharType="end"/>
        </w:r>
      </w:hyperlink>
    </w:p>
    <w:p w:rsidR="000B30EF" w:rsidRPr="000D1BD6" w:rsidRDefault="007E0BA0">
      <w:pPr>
        <w:pStyle w:val="TM3"/>
        <w:tabs>
          <w:tab w:val="right" w:leader="dot" w:pos="9062"/>
        </w:tabs>
        <w:rPr>
          <w:rFonts w:ascii="Times New Roman" w:eastAsiaTheme="minorEastAsia" w:hAnsi="Times New Roman" w:cs="Times New Roman"/>
          <w:noProof/>
          <w:sz w:val="24"/>
          <w:szCs w:val="24"/>
          <w:lang w:eastAsia="fr-FR"/>
        </w:rPr>
      </w:pPr>
      <w:hyperlink w:anchor="_Toc518671716" w:history="1">
        <w:r w:rsidR="000B30EF" w:rsidRPr="000D1BD6">
          <w:rPr>
            <w:rStyle w:val="Lienhypertexte"/>
            <w:rFonts w:ascii="Times New Roman" w:hAnsi="Times New Roman" w:cs="Times New Roman"/>
            <w:noProof/>
            <w:sz w:val="24"/>
            <w:szCs w:val="24"/>
          </w:rPr>
          <w:t>SECTION I : LA TENACITE DES JURIDICTIONS NATIONALES</w:t>
        </w:r>
        <w:r w:rsidR="000B30EF" w:rsidRPr="000D1BD6">
          <w:rPr>
            <w:rFonts w:ascii="Times New Roman" w:hAnsi="Times New Roman" w:cs="Times New Roman"/>
            <w:noProof/>
            <w:webHidden/>
            <w:sz w:val="24"/>
            <w:szCs w:val="24"/>
          </w:rPr>
          <w:tab/>
        </w:r>
        <w:r w:rsidRPr="000D1BD6">
          <w:rPr>
            <w:rFonts w:ascii="Times New Roman" w:hAnsi="Times New Roman" w:cs="Times New Roman"/>
            <w:noProof/>
            <w:webHidden/>
            <w:sz w:val="24"/>
            <w:szCs w:val="24"/>
          </w:rPr>
          <w:fldChar w:fldCharType="begin"/>
        </w:r>
        <w:r w:rsidR="000B30EF" w:rsidRPr="000D1BD6">
          <w:rPr>
            <w:rFonts w:ascii="Times New Roman" w:hAnsi="Times New Roman" w:cs="Times New Roman"/>
            <w:noProof/>
            <w:webHidden/>
            <w:sz w:val="24"/>
            <w:szCs w:val="24"/>
          </w:rPr>
          <w:instrText xml:space="preserve"> PAGEREF _Toc518671716 \h </w:instrText>
        </w:r>
        <w:r w:rsidRPr="000D1BD6">
          <w:rPr>
            <w:rFonts w:ascii="Times New Roman" w:hAnsi="Times New Roman" w:cs="Times New Roman"/>
            <w:noProof/>
            <w:webHidden/>
            <w:sz w:val="24"/>
            <w:szCs w:val="24"/>
          </w:rPr>
        </w:r>
        <w:r w:rsidRPr="000D1BD6">
          <w:rPr>
            <w:rFonts w:ascii="Times New Roman" w:hAnsi="Times New Roman" w:cs="Times New Roman"/>
            <w:noProof/>
            <w:webHidden/>
            <w:sz w:val="24"/>
            <w:szCs w:val="24"/>
          </w:rPr>
          <w:fldChar w:fldCharType="separate"/>
        </w:r>
        <w:r w:rsidR="00002397">
          <w:rPr>
            <w:rFonts w:ascii="Times New Roman" w:hAnsi="Times New Roman" w:cs="Times New Roman"/>
            <w:noProof/>
            <w:webHidden/>
            <w:sz w:val="24"/>
            <w:szCs w:val="24"/>
          </w:rPr>
          <w:t>61</w:t>
        </w:r>
        <w:r w:rsidRPr="000D1BD6">
          <w:rPr>
            <w:rFonts w:ascii="Times New Roman" w:hAnsi="Times New Roman" w:cs="Times New Roman"/>
            <w:noProof/>
            <w:webHidden/>
            <w:sz w:val="24"/>
            <w:szCs w:val="24"/>
          </w:rPr>
          <w:fldChar w:fldCharType="end"/>
        </w:r>
      </w:hyperlink>
    </w:p>
    <w:p w:rsidR="000B30EF" w:rsidRPr="000D1BD6" w:rsidRDefault="007E0BA0">
      <w:pPr>
        <w:pStyle w:val="TM3"/>
        <w:tabs>
          <w:tab w:val="right" w:leader="dot" w:pos="9062"/>
        </w:tabs>
        <w:rPr>
          <w:rFonts w:ascii="Times New Roman" w:eastAsiaTheme="minorEastAsia" w:hAnsi="Times New Roman" w:cs="Times New Roman"/>
          <w:noProof/>
          <w:sz w:val="24"/>
          <w:szCs w:val="24"/>
          <w:lang w:eastAsia="fr-FR"/>
        </w:rPr>
      </w:pPr>
      <w:hyperlink w:anchor="_Toc518671717" w:history="1">
        <w:r w:rsidR="000B30EF" w:rsidRPr="000D1BD6">
          <w:rPr>
            <w:rStyle w:val="Lienhypertexte"/>
            <w:rFonts w:ascii="Times New Roman" w:hAnsi="Times New Roman" w:cs="Times New Roman"/>
            <w:noProof/>
            <w:sz w:val="24"/>
            <w:szCs w:val="24"/>
          </w:rPr>
          <w:t>SECTION II : LA FRAGILITE DE LA JURIDICTION COMMUNAUTAIRE</w:t>
        </w:r>
        <w:r w:rsidR="000B30EF" w:rsidRPr="000D1BD6">
          <w:rPr>
            <w:rFonts w:ascii="Times New Roman" w:hAnsi="Times New Roman" w:cs="Times New Roman"/>
            <w:noProof/>
            <w:webHidden/>
            <w:sz w:val="24"/>
            <w:szCs w:val="24"/>
          </w:rPr>
          <w:tab/>
        </w:r>
        <w:r w:rsidRPr="000D1BD6">
          <w:rPr>
            <w:rFonts w:ascii="Times New Roman" w:hAnsi="Times New Roman" w:cs="Times New Roman"/>
            <w:noProof/>
            <w:webHidden/>
            <w:sz w:val="24"/>
            <w:szCs w:val="24"/>
          </w:rPr>
          <w:fldChar w:fldCharType="begin"/>
        </w:r>
        <w:r w:rsidR="000B30EF" w:rsidRPr="000D1BD6">
          <w:rPr>
            <w:rFonts w:ascii="Times New Roman" w:hAnsi="Times New Roman" w:cs="Times New Roman"/>
            <w:noProof/>
            <w:webHidden/>
            <w:sz w:val="24"/>
            <w:szCs w:val="24"/>
          </w:rPr>
          <w:instrText xml:space="preserve"> PAGEREF _Toc518671717 \h </w:instrText>
        </w:r>
        <w:r w:rsidRPr="000D1BD6">
          <w:rPr>
            <w:rFonts w:ascii="Times New Roman" w:hAnsi="Times New Roman" w:cs="Times New Roman"/>
            <w:noProof/>
            <w:webHidden/>
            <w:sz w:val="24"/>
            <w:szCs w:val="24"/>
          </w:rPr>
        </w:r>
        <w:r w:rsidRPr="000D1BD6">
          <w:rPr>
            <w:rFonts w:ascii="Times New Roman" w:hAnsi="Times New Roman" w:cs="Times New Roman"/>
            <w:noProof/>
            <w:webHidden/>
            <w:sz w:val="24"/>
            <w:szCs w:val="24"/>
          </w:rPr>
          <w:fldChar w:fldCharType="separate"/>
        </w:r>
        <w:r w:rsidR="00002397">
          <w:rPr>
            <w:rFonts w:ascii="Times New Roman" w:hAnsi="Times New Roman" w:cs="Times New Roman"/>
            <w:noProof/>
            <w:webHidden/>
            <w:sz w:val="24"/>
            <w:szCs w:val="24"/>
          </w:rPr>
          <w:t>69</w:t>
        </w:r>
        <w:r w:rsidRPr="000D1BD6">
          <w:rPr>
            <w:rFonts w:ascii="Times New Roman" w:hAnsi="Times New Roman" w:cs="Times New Roman"/>
            <w:noProof/>
            <w:webHidden/>
            <w:sz w:val="24"/>
            <w:szCs w:val="24"/>
          </w:rPr>
          <w:fldChar w:fldCharType="end"/>
        </w:r>
      </w:hyperlink>
    </w:p>
    <w:p w:rsidR="000B30EF" w:rsidRPr="000D1BD6" w:rsidRDefault="007E0BA0">
      <w:pPr>
        <w:pStyle w:val="TM1"/>
        <w:tabs>
          <w:tab w:val="right" w:leader="dot" w:pos="9062"/>
        </w:tabs>
        <w:rPr>
          <w:rFonts w:ascii="Times New Roman" w:eastAsiaTheme="minorEastAsia" w:hAnsi="Times New Roman" w:cs="Times New Roman"/>
          <w:b w:val="0"/>
          <w:bCs w:val="0"/>
          <w:i w:val="0"/>
          <w:iCs w:val="0"/>
          <w:noProof/>
          <w:lang w:eastAsia="fr-FR"/>
        </w:rPr>
      </w:pPr>
      <w:hyperlink w:anchor="_Toc518671718" w:history="1">
        <w:r w:rsidR="000B30EF" w:rsidRPr="000D1BD6">
          <w:rPr>
            <w:rStyle w:val="Lienhypertexte"/>
            <w:rFonts w:ascii="Times New Roman" w:hAnsi="Times New Roman" w:cs="Times New Roman"/>
            <w:noProof/>
          </w:rPr>
          <w:t>CONCLUSION DU TITRE II</w:t>
        </w:r>
        <w:r w:rsidR="000B30EF" w:rsidRPr="000D1BD6">
          <w:rPr>
            <w:rFonts w:ascii="Times New Roman" w:hAnsi="Times New Roman" w:cs="Times New Roman"/>
            <w:noProof/>
            <w:webHidden/>
          </w:rPr>
          <w:tab/>
        </w:r>
        <w:r w:rsidRPr="000D1BD6">
          <w:rPr>
            <w:rFonts w:ascii="Times New Roman" w:hAnsi="Times New Roman" w:cs="Times New Roman"/>
            <w:noProof/>
            <w:webHidden/>
          </w:rPr>
          <w:fldChar w:fldCharType="begin"/>
        </w:r>
        <w:r w:rsidR="000B30EF" w:rsidRPr="000D1BD6">
          <w:rPr>
            <w:rFonts w:ascii="Times New Roman" w:hAnsi="Times New Roman" w:cs="Times New Roman"/>
            <w:noProof/>
            <w:webHidden/>
          </w:rPr>
          <w:instrText xml:space="preserve"> PAGEREF _Toc518671718 \h </w:instrText>
        </w:r>
        <w:r w:rsidRPr="000D1BD6">
          <w:rPr>
            <w:rFonts w:ascii="Times New Roman" w:hAnsi="Times New Roman" w:cs="Times New Roman"/>
            <w:noProof/>
            <w:webHidden/>
          </w:rPr>
        </w:r>
        <w:r w:rsidRPr="000D1BD6">
          <w:rPr>
            <w:rFonts w:ascii="Times New Roman" w:hAnsi="Times New Roman" w:cs="Times New Roman"/>
            <w:noProof/>
            <w:webHidden/>
          </w:rPr>
          <w:fldChar w:fldCharType="separate"/>
        </w:r>
        <w:r w:rsidR="00002397">
          <w:rPr>
            <w:rFonts w:ascii="Times New Roman" w:hAnsi="Times New Roman" w:cs="Times New Roman"/>
            <w:noProof/>
            <w:webHidden/>
          </w:rPr>
          <w:t>77</w:t>
        </w:r>
        <w:r w:rsidRPr="000D1BD6">
          <w:rPr>
            <w:rFonts w:ascii="Times New Roman" w:hAnsi="Times New Roman" w:cs="Times New Roman"/>
            <w:noProof/>
            <w:webHidden/>
          </w:rPr>
          <w:fldChar w:fldCharType="end"/>
        </w:r>
      </w:hyperlink>
    </w:p>
    <w:p w:rsidR="000B30EF" w:rsidRPr="000D1BD6" w:rsidRDefault="007E0BA0">
      <w:pPr>
        <w:pStyle w:val="TM1"/>
        <w:tabs>
          <w:tab w:val="right" w:leader="dot" w:pos="9062"/>
        </w:tabs>
        <w:rPr>
          <w:rFonts w:ascii="Times New Roman" w:eastAsiaTheme="minorEastAsia" w:hAnsi="Times New Roman" w:cs="Times New Roman"/>
          <w:b w:val="0"/>
          <w:bCs w:val="0"/>
          <w:i w:val="0"/>
          <w:iCs w:val="0"/>
          <w:noProof/>
          <w:lang w:eastAsia="fr-FR"/>
        </w:rPr>
      </w:pPr>
      <w:hyperlink w:anchor="_Toc518671719" w:history="1">
        <w:r w:rsidR="000B30EF" w:rsidRPr="000D1BD6">
          <w:rPr>
            <w:rStyle w:val="Lienhypertexte"/>
            <w:rFonts w:ascii="Times New Roman" w:hAnsi="Times New Roman" w:cs="Times New Roman"/>
            <w:noProof/>
          </w:rPr>
          <w:t>CONCLUSION GENERALE</w:t>
        </w:r>
        <w:r w:rsidR="000B30EF" w:rsidRPr="000D1BD6">
          <w:rPr>
            <w:rFonts w:ascii="Times New Roman" w:hAnsi="Times New Roman" w:cs="Times New Roman"/>
            <w:noProof/>
            <w:webHidden/>
          </w:rPr>
          <w:tab/>
        </w:r>
        <w:r w:rsidRPr="000D1BD6">
          <w:rPr>
            <w:rFonts w:ascii="Times New Roman" w:hAnsi="Times New Roman" w:cs="Times New Roman"/>
            <w:noProof/>
            <w:webHidden/>
          </w:rPr>
          <w:fldChar w:fldCharType="begin"/>
        </w:r>
        <w:r w:rsidR="000B30EF" w:rsidRPr="000D1BD6">
          <w:rPr>
            <w:rFonts w:ascii="Times New Roman" w:hAnsi="Times New Roman" w:cs="Times New Roman"/>
            <w:noProof/>
            <w:webHidden/>
          </w:rPr>
          <w:instrText xml:space="preserve"> PAGEREF _Toc518671719 \h </w:instrText>
        </w:r>
        <w:r w:rsidRPr="000D1BD6">
          <w:rPr>
            <w:rFonts w:ascii="Times New Roman" w:hAnsi="Times New Roman" w:cs="Times New Roman"/>
            <w:noProof/>
            <w:webHidden/>
          </w:rPr>
        </w:r>
        <w:r w:rsidRPr="000D1BD6">
          <w:rPr>
            <w:rFonts w:ascii="Times New Roman" w:hAnsi="Times New Roman" w:cs="Times New Roman"/>
            <w:noProof/>
            <w:webHidden/>
          </w:rPr>
          <w:fldChar w:fldCharType="separate"/>
        </w:r>
        <w:r w:rsidR="00002397">
          <w:rPr>
            <w:rFonts w:ascii="Times New Roman" w:hAnsi="Times New Roman" w:cs="Times New Roman"/>
            <w:noProof/>
            <w:webHidden/>
          </w:rPr>
          <w:t>78</w:t>
        </w:r>
        <w:r w:rsidRPr="000D1BD6">
          <w:rPr>
            <w:rFonts w:ascii="Times New Roman" w:hAnsi="Times New Roman" w:cs="Times New Roman"/>
            <w:noProof/>
            <w:webHidden/>
          </w:rPr>
          <w:fldChar w:fldCharType="end"/>
        </w:r>
      </w:hyperlink>
    </w:p>
    <w:p w:rsidR="00C60AB6" w:rsidRDefault="007E0BA0" w:rsidP="000B30EF">
      <w:pPr>
        <w:rPr>
          <w:sz w:val="24"/>
          <w:szCs w:val="24"/>
        </w:rPr>
        <w:sectPr w:rsidR="00C60AB6" w:rsidSect="00423882">
          <w:footerReference w:type="default" r:id="rId10"/>
          <w:pgSz w:w="11906" w:h="16838"/>
          <w:pgMar w:top="1417" w:right="1417" w:bottom="1417" w:left="1417" w:header="708" w:footer="708" w:gutter="0"/>
          <w:pgBorders w:display="firstPage" w:offsetFrom="page">
            <w:top w:val="dashDotStroked" w:sz="24" w:space="24" w:color="1F497D" w:themeColor="text2"/>
            <w:left w:val="dashDotStroked" w:sz="24" w:space="24" w:color="1F497D" w:themeColor="text2"/>
            <w:bottom w:val="dashDotStroked" w:sz="24" w:space="24" w:color="1F497D" w:themeColor="text2"/>
            <w:right w:val="dashDotStroked" w:sz="24" w:space="24" w:color="1F497D" w:themeColor="text2"/>
          </w:pgBorders>
          <w:pgNumType w:fmt="lowerRoman"/>
          <w:cols w:space="708"/>
          <w:docGrid w:linePitch="360"/>
        </w:sectPr>
      </w:pPr>
      <w:r w:rsidRPr="000B30EF">
        <w:rPr>
          <w:sz w:val="24"/>
          <w:szCs w:val="24"/>
        </w:rPr>
        <w:fldChar w:fldCharType="end"/>
      </w:r>
      <w:bookmarkStart w:id="12" w:name="_Toc518671702"/>
    </w:p>
    <w:p w:rsidR="00C26AD7" w:rsidRDefault="00853141" w:rsidP="00414AB8">
      <w:pPr>
        <w:pStyle w:val="Titre1"/>
      </w:pPr>
      <w:bookmarkStart w:id="13" w:name="_Toc518672776"/>
      <w:r w:rsidRPr="004B5291">
        <w:lastRenderedPageBreak/>
        <w:t>INTRODUCTION GENERALE</w:t>
      </w:r>
      <w:bookmarkEnd w:id="10"/>
      <w:bookmarkEnd w:id="11"/>
      <w:bookmarkEnd w:id="12"/>
      <w:bookmarkEnd w:id="13"/>
    </w:p>
    <w:p w:rsidR="007E4031" w:rsidRPr="007E4031" w:rsidRDefault="007E4031" w:rsidP="007E4031">
      <w:pPr>
        <w:rPr>
          <w:rFonts w:ascii="Times New Roman" w:hAnsi="Times New Roman" w:cs="Times New Roman"/>
          <w:sz w:val="24"/>
          <w:szCs w:val="24"/>
        </w:rPr>
      </w:pPr>
    </w:p>
    <w:p w:rsidR="00C26AD7" w:rsidRPr="00695693" w:rsidRDefault="00210300" w:rsidP="00695693">
      <w:pPr>
        <w:spacing w:line="360" w:lineRule="auto"/>
        <w:jc w:val="both"/>
        <w:rPr>
          <w:rFonts w:ascii="Times New Roman" w:hAnsi="Times New Roman" w:cs="Times New Roman"/>
          <w:sz w:val="24"/>
          <w:szCs w:val="24"/>
        </w:rPr>
      </w:pPr>
      <w:r>
        <w:rPr>
          <w:rFonts w:ascii="Times New Roman" w:hAnsi="Times New Roman" w:cs="Times New Roman"/>
          <w:sz w:val="24"/>
          <w:szCs w:val="24"/>
        </w:rPr>
        <w:t>« </w:t>
      </w:r>
      <w:r w:rsidR="00C26AD7" w:rsidRPr="00210300">
        <w:rPr>
          <w:rFonts w:ascii="Times New Roman" w:hAnsi="Times New Roman" w:cs="Times New Roman"/>
          <w:i/>
          <w:sz w:val="24"/>
          <w:szCs w:val="24"/>
        </w:rPr>
        <w:t xml:space="preserve">Au </w:t>
      </w:r>
      <w:r w:rsidR="00362E16" w:rsidRPr="00210300">
        <w:rPr>
          <w:rFonts w:ascii="Times New Roman" w:hAnsi="Times New Roman" w:cs="Times New Roman"/>
          <w:i/>
          <w:sz w:val="24"/>
          <w:szCs w:val="24"/>
        </w:rPr>
        <w:t xml:space="preserve">sein du système juridique </w:t>
      </w:r>
      <w:r w:rsidRPr="00210300">
        <w:rPr>
          <w:rFonts w:ascii="Times New Roman" w:hAnsi="Times New Roman" w:cs="Times New Roman"/>
          <w:i/>
          <w:sz w:val="24"/>
          <w:szCs w:val="24"/>
        </w:rPr>
        <w:t xml:space="preserve">communautaire, </w:t>
      </w:r>
      <w:r w:rsidR="007A05F4" w:rsidRPr="00210300">
        <w:rPr>
          <w:rFonts w:ascii="Times New Roman" w:hAnsi="Times New Roman" w:cs="Times New Roman"/>
          <w:i/>
          <w:sz w:val="24"/>
          <w:szCs w:val="24"/>
        </w:rPr>
        <w:t>la Cour de j</w:t>
      </w:r>
      <w:r w:rsidR="00C26AD7" w:rsidRPr="00210300">
        <w:rPr>
          <w:rFonts w:ascii="Times New Roman" w:hAnsi="Times New Roman" w:cs="Times New Roman"/>
          <w:i/>
          <w:sz w:val="24"/>
          <w:szCs w:val="24"/>
        </w:rPr>
        <w:t>ustice a toujours eu vocation à assurerle respec</w:t>
      </w:r>
      <w:r w:rsidR="00AA3B8F" w:rsidRPr="00210300">
        <w:rPr>
          <w:rFonts w:ascii="Times New Roman" w:hAnsi="Times New Roman" w:cs="Times New Roman"/>
          <w:i/>
          <w:sz w:val="24"/>
          <w:szCs w:val="24"/>
        </w:rPr>
        <w:t xml:space="preserve">t du droit </w:t>
      </w:r>
      <w:r w:rsidRPr="00210300">
        <w:rPr>
          <w:rFonts w:ascii="Times New Roman" w:hAnsi="Times New Roman" w:cs="Times New Roman"/>
          <w:i/>
          <w:sz w:val="24"/>
          <w:szCs w:val="24"/>
        </w:rPr>
        <w:t>dans l’</w:t>
      </w:r>
      <w:r w:rsidR="00C26AD7" w:rsidRPr="00210300">
        <w:rPr>
          <w:rFonts w:ascii="Times New Roman" w:hAnsi="Times New Roman" w:cs="Times New Roman"/>
          <w:i/>
          <w:sz w:val="24"/>
          <w:szCs w:val="24"/>
        </w:rPr>
        <w:t xml:space="preserve">interprétation et </w:t>
      </w:r>
      <w:r w:rsidRPr="00210300">
        <w:rPr>
          <w:rFonts w:ascii="Times New Roman" w:hAnsi="Times New Roman" w:cs="Times New Roman"/>
          <w:i/>
          <w:sz w:val="24"/>
          <w:szCs w:val="24"/>
        </w:rPr>
        <w:t>l’</w:t>
      </w:r>
      <w:r w:rsidR="00C26AD7" w:rsidRPr="00210300">
        <w:rPr>
          <w:rFonts w:ascii="Times New Roman" w:hAnsi="Times New Roman" w:cs="Times New Roman"/>
          <w:i/>
          <w:sz w:val="24"/>
          <w:szCs w:val="24"/>
        </w:rPr>
        <w:t>application</w:t>
      </w:r>
      <w:r w:rsidRPr="00210300">
        <w:rPr>
          <w:rFonts w:ascii="Times New Roman" w:hAnsi="Times New Roman" w:cs="Times New Roman"/>
          <w:i/>
          <w:sz w:val="24"/>
          <w:szCs w:val="24"/>
        </w:rPr>
        <w:t xml:space="preserve"> des traités</w:t>
      </w:r>
      <w:r>
        <w:rPr>
          <w:rFonts w:ascii="Times New Roman" w:hAnsi="Times New Roman" w:cs="Times New Roman"/>
          <w:sz w:val="24"/>
          <w:szCs w:val="24"/>
        </w:rPr>
        <w:t> »</w:t>
      </w:r>
      <w:r w:rsidR="00C26AD7" w:rsidRPr="00695693">
        <w:rPr>
          <w:rStyle w:val="Appelnotedebasdep"/>
          <w:rFonts w:ascii="Times New Roman" w:hAnsi="Times New Roman" w:cs="Times New Roman"/>
          <w:sz w:val="24"/>
          <w:szCs w:val="24"/>
        </w:rPr>
        <w:footnoteReference w:id="2"/>
      </w:r>
      <w:r w:rsidR="00C51637" w:rsidRPr="00695693">
        <w:rPr>
          <w:rFonts w:ascii="Times New Roman" w:hAnsi="Times New Roman" w:cs="Times New Roman"/>
          <w:sz w:val="24"/>
          <w:szCs w:val="24"/>
        </w:rPr>
        <w:t>.</w:t>
      </w:r>
      <w:r w:rsidR="00230056" w:rsidRPr="00695693">
        <w:rPr>
          <w:rFonts w:ascii="Times New Roman" w:hAnsi="Times New Roman" w:cs="Times New Roman"/>
          <w:sz w:val="24"/>
          <w:szCs w:val="24"/>
        </w:rPr>
        <w:t xml:space="preserve"> C’est dans cette logique qu’il est apparu nécessaire d’instituer</w:t>
      </w:r>
      <w:r w:rsidR="002513B4">
        <w:rPr>
          <w:rFonts w:ascii="Times New Roman" w:hAnsi="Times New Roman" w:cs="Times New Roman"/>
          <w:sz w:val="24"/>
          <w:szCs w:val="24"/>
        </w:rPr>
        <w:t>,</w:t>
      </w:r>
      <w:r>
        <w:rPr>
          <w:rFonts w:ascii="Times New Roman" w:hAnsi="Times New Roman" w:cs="Times New Roman"/>
          <w:sz w:val="24"/>
          <w:szCs w:val="24"/>
        </w:rPr>
        <w:t xml:space="preserve">en droit </w:t>
      </w:r>
      <w:r w:rsidRPr="00210300">
        <w:rPr>
          <w:rFonts w:ascii="Times New Roman" w:hAnsi="Times New Roman" w:cs="Times New Roman"/>
          <w:sz w:val="24"/>
          <w:szCs w:val="24"/>
        </w:rPr>
        <w:t xml:space="preserve">de la </w:t>
      </w:r>
      <w:r w:rsidR="00323B4E">
        <w:rPr>
          <w:rFonts w:ascii="Times New Roman" w:hAnsi="Times New Roman" w:cs="Times New Roman"/>
          <w:sz w:val="24"/>
          <w:szCs w:val="24"/>
        </w:rPr>
        <w:t>Communauté E</w:t>
      </w:r>
      <w:r w:rsidRPr="00210300">
        <w:rPr>
          <w:rFonts w:ascii="Times New Roman" w:hAnsi="Times New Roman" w:cs="Times New Roman"/>
          <w:sz w:val="24"/>
          <w:szCs w:val="24"/>
        </w:rPr>
        <w:t xml:space="preserve">conomique des Etats de l’Afrique de l’Ouest (ci-après dénommée CEDEAO), </w:t>
      </w:r>
      <w:r w:rsidR="00230056" w:rsidRPr="00695693">
        <w:rPr>
          <w:rFonts w:ascii="Times New Roman" w:hAnsi="Times New Roman" w:cs="Times New Roman"/>
          <w:sz w:val="24"/>
          <w:szCs w:val="24"/>
        </w:rPr>
        <w:t>une voie de droit qui permet l’établissement d’un corridor de dialogue entre le juge CEDEAO et les juridictions nationales</w:t>
      </w:r>
      <w:r w:rsidR="00B07372">
        <w:rPr>
          <w:rFonts w:ascii="Times New Roman" w:hAnsi="Times New Roman" w:cs="Times New Roman"/>
          <w:sz w:val="24"/>
          <w:szCs w:val="24"/>
        </w:rPr>
        <w:t xml:space="preserve"> des Etats membres</w:t>
      </w:r>
      <w:r w:rsidR="00230056" w:rsidRPr="00695693">
        <w:rPr>
          <w:rFonts w:ascii="Times New Roman" w:hAnsi="Times New Roman" w:cs="Times New Roman"/>
          <w:sz w:val="24"/>
          <w:szCs w:val="24"/>
        </w:rPr>
        <w:t>. Il s’agit du mécanisme de</w:t>
      </w:r>
      <w:r w:rsidR="00C51637" w:rsidRPr="00695693">
        <w:rPr>
          <w:rFonts w:ascii="Times New Roman" w:hAnsi="Times New Roman" w:cs="Times New Roman"/>
          <w:sz w:val="24"/>
          <w:szCs w:val="24"/>
        </w:rPr>
        <w:t xml:space="preserve"> renvoi préjudiciel</w:t>
      </w:r>
      <w:r w:rsidR="00E9462A" w:rsidRPr="00695693">
        <w:rPr>
          <w:rFonts w:ascii="Times New Roman" w:hAnsi="Times New Roman" w:cs="Times New Roman"/>
          <w:sz w:val="24"/>
          <w:szCs w:val="24"/>
        </w:rPr>
        <w:t xml:space="preserve">. </w:t>
      </w:r>
      <w:r w:rsidR="00B56E2C">
        <w:rPr>
          <w:rFonts w:ascii="Times New Roman" w:hAnsi="Times New Roman" w:cs="Times New Roman"/>
          <w:sz w:val="24"/>
          <w:szCs w:val="24"/>
        </w:rPr>
        <w:t xml:space="preserve">Ce type de recours </w:t>
      </w:r>
      <w:r w:rsidR="00F83ACB">
        <w:rPr>
          <w:rFonts w:ascii="Times New Roman" w:hAnsi="Times New Roman" w:cs="Times New Roman"/>
          <w:sz w:val="24"/>
          <w:szCs w:val="24"/>
        </w:rPr>
        <w:t>devant le juge CEDEAO</w:t>
      </w:r>
      <w:r w:rsidR="00B56E2C">
        <w:rPr>
          <w:rFonts w:ascii="Times New Roman" w:hAnsi="Times New Roman" w:cs="Times New Roman"/>
          <w:sz w:val="24"/>
          <w:szCs w:val="24"/>
        </w:rPr>
        <w:t xml:space="preserve">, alors même qu’il constitue </w:t>
      </w:r>
      <w:r w:rsidR="00B56E2C" w:rsidRPr="00B56E2C">
        <w:rPr>
          <w:rFonts w:ascii="Times New Roman" w:hAnsi="Times New Roman" w:cs="Times New Roman"/>
          <w:sz w:val="24"/>
          <w:szCs w:val="24"/>
        </w:rPr>
        <w:t>l’objet de la présente étude</w:t>
      </w:r>
      <w:r w:rsidR="00B56E2C">
        <w:rPr>
          <w:rFonts w:ascii="Times New Roman" w:hAnsi="Times New Roman" w:cs="Times New Roman"/>
          <w:sz w:val="24"/>
          <w:szCs w:val="24"/>
        </w:rPr>
        <w:t>,</w:t>
      </w:r>
      <w:r w:rsidR="00E9462A" w:rsidRPr="00695693">
        <w:rPr>
          <w:rFonts w:ascii="Times New Roman" w:hAnsi="Times New Roman" w:cs="Times New Roman"/>
          <w:sz w:val="24"/>
          <w:szCs w:val="24"/>
        </w:rPr>
        <w:t xml:space="preserve">est expressément </w:t>
      </w:r>
      <w:r w:rsidR="00C51637" w:rsidRPr="00695693">
        <w:rPr>
          <w:rFonts w:ascii="Times New Roman" w:hAnsi="Times New Roman" w:cs="Times New Roman"/>
          <w:sz w:val="24"/>
          <w:szCs w:val="24"/>
        </w:rPr>
        <w:t>p</w:t>
      </w:r>
      <w:r w:rsidR="00FE0B79" w:rsidRPr="00695693">
        <w:rPr>
          <w:rFonts w:ascii="Times New Roman" w:hAnsi="Times New Roman" w:cs="Times New Roman"/>
          <w:sz w:val="24"/>
          <w:szCs w:val="24"/>
        </w:rPr>
        <w:t>révu à</w:t>
      </w:r>
      <w:r w:rsidR="00C51637" w:rsidRPr="00695693">
        <w:rPr>
          <w:rFonts w:ascii="Times New Roman" w:hAnsi="Times New Roman" w:cs="Times New Roman"/>
          <w:sz w:val="24"/>
          <w:szCs w:val="24"/>
        </w:rPr>
        <w:t xml:space="preserve"> l’article 10, </w:t>
      </w:r>
      <w:r w:rsidR="00F83ACB">
        <w:rPr>
          <w:rFonts w:ascii="Times New Roman" w:hAnsi="Times New Roman" w:cs="Times New Roman"/>
          <w:sz w:val="24"/>
          <w:szCs w:val="24"/>
        </w:rPr>
        <w:t>point</w:t>
      </w:r>
      <w:r w:rsidR="00C51637" w:rsidRPr="00695693">
        <w:rPr>
          <w:rFonts w:ascii="Times New Roman" w:hAnsi="Times New Roman" w:cs="Times New Roman"/>
          <w:sz w:val="24"/>
          <w:szCs w:val="24"/>
        </w:rPr>
        <w:t xml:space="preserve">f du Protocole </w:t>
      </w:r>
      <w:r w:rsidR="00853141" w:rsidRPr="00695693">
        <w:rPr>
          <w:rFonts w:ascii="Times New Roman" w:hAnsi="Times New Roman" w:cs="Times New Roman"/>
          <w:sz w:val="24"/>
          <w:szCs w:val="24"/>
        </w:rPr>
        <w:t>Additionnel (A/SP.1/01/05)</w:t>
      </w:r>
      <w:r w:rsidR="00AA3B8F" w:rsidRPr="00695693">
        <w:rPr>
          <w:rFonts w:ascii="Times New Roman" w:hAnsi="Times New Roman" w:cs="Times New Roman"/>
          <w:sz w:val="24"/>
          <w:szCs w:val="24"/>
        </w:rPr>
        <w:t xml:space="preserve"> d’Accra du 19 janvier 2005</w:t>
      </w:r>
      <w:r w:rsidR="00853141" w:rsidRPr="00695693">
        <w:rPr>
          <w:rFonts w:ascii="Times New Roman" w:hAnsi="Times New Roman" w:cs="Times New Roman"/>
          <w:sz w:val="24"/>
          <w:szCs w:val="24"/>
        </w:rPr>
        <w:t xml:space="preserve"> portant amendement du Protocole (A/P.1/7/91) </w:t>
      </w:r>
      <w:r w:rsidR="00AA3B8F" w:rsidRPr="00695693">
        <w:rPr>
          <w:rFonts w:ascii="Times New Roman" w:hAnsi="Times New Roman" w:cs="Times New Roman"/>
          <w:sz w:val="24"/>
          <w:szCs w:val="24"/>
        </w:rPr>
        <w:t xml:space="preserve">d’Abuja du 6 juillet 1991, </w:t>
      </w:r>
      <w:r w:rsidR="00853141" w:rsidRPr="00695693">
        <w:rPr>
          <w:rFonts w:ascii="Times New Roman" w:hAnsi="Times New Roman" w:cs="Times New Roman"/>
          <w:sz w:val="24"/>
          <w:szCs w:val="24"/>
        </w:rPr>
        <w:t>relatif à la Co</w:t>
      </w:r>
      <w:r w:rsidR="00F2572B" w:rsidRPr="00695693">
        <w:rPr>
          <w:rFonts w:ascii="Times New Roman" w:hAnsi="Times New Roman" w:cs="Times New Roman"/>
          <w:sz w:val="24"/>
          <w:szCs w:val="24"/>
        </w:rPr>
        <w:t>ur de j</w:t>
      </w:r>
      <w:r w:rsidR="00AA3B8F" w:rsidRPr="00695693">
        <w:rPr>
          <w:rFonts w:ascii="Times New Roman" w:hAnsi="Times New Roman" w:cs="Times New Roman"/>
          <w:sz w:val="24"/>
          <w:szCs w:val="24"/>
        </w:rPr>
        <w:t xml:space="preserve">ustice de la communauté. </w:t>
      </w:r>
      <w:r w:rsidR="00EC4F27" w:rsidRPr="00695693">
        <w:rPr>
          <w:rFonts w:ascii="Times New Roman" w:hAnsi="Times New Roman" w:cs="Times New Roman"/>
          <w:sz w:val="24"/>
          <w:szCs w:val="24"/>
        </w:rPr>
        <w:t xml:space="preserve">En effet, si </w:t>
      </w:r>
      <w:r w:rsidR="00B56E2C">
        <w:rPr>
          <w:rFonts w:ascii="Times New Roman" w:hAnsi="Times New Roman" w:cs="Times New Roman"/>
          <w:sz w:val="24"/>
          <w:szCs w:val="24"/>
        </w:rPr>
        <w:t xml:space="preserve">le renvoi préjudiciel </w:t>
      </w:r>
      <w:r w:rsidR="00EC4F27" w:rsidRPr="00695693">
        <w:rPr>
          <w:rFonts w:ascii="Times New Roman" w:hAnsi="Times New Roman" w:cs="Times New Roman"/>
          <w:sz w:val="24"/>
          <w:szCs w:val="24"/>
        </w:rPr>
        <w:t>pourrait servir essentie</w:t>
      </w:r>
      <w:r w:rsidR="00C51637" w:rsidRPr="00695693">
        <w:rPr>
          <w:rFonts w:ascii="Times New Roman" w:hAnsi="Times New Roman" w:cs="Times New Roman"/>
          <w:sz w:val="24"/>
          <w:szCs w:val="24"/>
        </w:rPr>
        <w:t>llement « </w:t>
      </w:r>
      <w:r w:rsidR="00C51637" w:rsidRPr="00695693">
        <w:rPr>
          <w:rFonts w:ascii="Times New Roman" w:hAnsi="Times New Roman" w:cs="Times New Roman"/>
          <w:i/>
          <w:sz w:val="24"/>
          <w:szCs w:val="24"/>
        </w:rPr>
        <w:t>à l’édification de l’ordre juridique de la Communauté et à l’efficacité du droit communautaire</w:t>
      </w:r>
      <w:r w:rsidR="00C51637" w:rsidRPr="00695693">
        <w:rPr>
          <w:rFonts w:ascii="Times New Roman" w:hAnsi="Times New Roman" w:cs="Times New Roman"/>
          <w:sz w:val="24"/>
          <w:szCs w:val="24"/>
        </w:rPr>
        <w:t> »</w:t>
      </w:r>
      <w:r w:rsidR="00C51637" w:rsidRPr="00695693">
        <w:rPr>
          <w:rStyle w:val="Appelnotedebasdep"/>
          <w:rFonts w:ascii="Times New Roman" w:hAnsi="Times New Roman" w:cs="Times New Roman"/>
          <w:sz w:val="24"/>
          <w:szCs w:val="24"/>
        </w:rPr>
        <w:footnoteReference w:id="3"/>
      </w:r>
      <w:r w:rsidR="00EC4F27" w:rsidRPr="00695693">
        <w:rPr>
          <w:rFonts w:ascii="Times New Roman" w:hAnsi="Times New Roman" w:cs="Times New Roman"/>
          <w:sz w:val="24"/>
          <w:szCs w:val="24"/>
        </w:rPr>
        <w:t xml:space="preserve">, il n’en demeure pas moins </w:t>
      </w:r>
      <w:r w:rsidR="00E9462A" w:rsidRPr="00695693">
        <w:rPr>
          <w:rFonts w:ascii="Times New Roman" w:hAnsi="Times New Roman" w:cs="Times New Roman"/>
          <w:sz w:val="24"/>
          <w:szCs w:val="24"/>
        </w:rPr>
        <w:t>qu’</w:t>
      </w:r>
      <w:r w:rsidR="00BD5779" w:rsidRPr="00695693">
        <w:rPr>
          <w:rFonts w:ascii="Times New Roman" w:hAnsi="Times New Roman" w:cs="Times New Roman"/>
          <w:sz w:val="24"/>
          <w:szCs w:val="24"/>
        </w:rPr>
        <w:t xml:space="preserve">il recèle </w:t>
      </w:r>
      <w:r w:rsidR="005D0D5F" w:rsidRPr="00695693">
        <w:rPr>
          <w:rFonts w:ascii="Times New Roman" w:hAnsi="Times New Roman" w:cs="Times New Roman"/>
          <w:sz w:val="24"/>
          <w:szCs w:val="24"/>
        </w:rPr>
        <w:t xml:space="preserve">aujourd’hui </w:t>
      </w:r>
      <w:r w:rsidR="00EC4F27" w:rsidRPr="00695693">
        <w:rPr>
          <w:rFonts w:ascii="Times New Roman" w:hAnsi="Times New Roman" w:cs="Times New Roman"/>
          <w:sz w:val="24"/>
          <w:szCs w:val="24"/>
        </w:rPr>
        <w:t>l’un des plus problématiques possible, parce que le législateur CEDEAOde 2005 utilise le mot sans le définir, ni</w:t>
      </w:r>
      <w:r w:rsidR="00FB5D66" w:rsidRPr="00695693">
        <w:rPr>
          <w:rFonts w:ascii="Times New Roman" w:hAnsi="Times New Roman" w:cs="Times New Roman"/>
          <w:sz w:val="24"/>
          <w:szCs w:val="24"/>
        </w:rPr>
        <w:t xml:space="preserve"> préciser se</w:t>
      </w:r>
      <w:r w:rsidR="005D0D5F" w:rsidRPr="00695693">
        <w:rPr>
          <w:rFonts w:ascii="Times New Roman" w:hAnsi="Times New Roman" w:cs="Times New Roman"/>
          <w:sz w:val="24"/>
          <w:szCs w:val="24"/>
        </w:rPr>
        <w:t>s caractéristiques</w:t>
      </w:r>
      <w:r w:rsidR="00FB5D66" w:rsidRPr="00695693">
        <w:rPr>
          <w:rFonts w:ascii="Times New Roman" w:hAnsi="Times New Roman" w:cs="Times New Roman"/>
          <w:sz w:val="24"/>
          <w:szCs w:val="24"/>
        </w:rPr>
        <w:t xml:space="preserve"> et son régime juridique</w:t>
      </w:r>
      <w:r w:rsidR="005D0D5F" w:rsidRPr="00695693">
        <w:rPr>
          <w:rFonts w:ascii="Times New Roman" w:hAnsi="Times New Roman" w:cs="Times New Roman"/>
          <w:sz w:val="24"/>
          <w:szCs w:val="24"/>
        </w:rPr>
        <w:t>. Il se borne simplement à dire que : « </w:t>
      </w:r>
      <w:r w:rsidR="005D0D5F" w:rsidRPr="00695693">
        <w:rPr>
          <w:rFonts w:ascii="Times New Roman" w:hAnsi="Times New Roman" w:cs="Times New Roman"/>
          <w:i/>
          <w:sz w:val="24"/>
          <w:szCs w:val="24"/>
        </w:rPr>
        <w:t>lorsque la Cour doit statuer à titre préjudiciel sur l’interprétation du Traité, des Protocoles et Règlements ; les juridictions nationales</w:t>
      </w:r>
      <w:r w:rsidR="00E75D76" w:rsidRPr="00695693">
        <w:rPr>
          <w:rFonts w:ascii="Times New Roman" w:hAnsi="Times New Roman" w:cs="Times New Roman"/>
          <w:i/>
          <w:sz w:val="24"/>
          <w:szCs w:val="24"/>
        </w:rPr>
        <w:t xml:space="preserve"> peuvent décider elles-mêmes, ou à la demande d’une des parties au différend, de porter la question devant la Cour de Justice de la communauté pour interprétation</w:t>
      </w:r>
      <w:r w:rsidR="00E75D76" w:rsidRPr="00695693">
        <w:rPr>
          <w:rFonts w:ascii="Times New Roman" w:hAnsi="Times New Roman" w:cs="Times New Roman"/>
          <w:sz w:val="24"/>
          <w:szCs w:val="24"/>
        </w:rPr>
        <w:t> »</w:t>
      </w:r>
      <w:r w:rsidR="00E75D76" w:rsidRPr="00695693">
        <w:rPr>
          <w:rStyle w:val="Appelnotedebasdep"/>
          <w:rFonts w:ascii="Times New Roman" w:hAnsi="Times New Roman" w:cs="Times New Roman"/>
          <w:sz w:val="24"/>
          <w:szCs w:val="24"/>
        </w:rPr>
        <w:footnoteReference w:id="4"/>
      </w:r>
      <w:r w:rsidR="00E75D76" w:rsidRPr="00695693">
        <w:rPr>
          <w:rFonts w:ascii="Times New Roman" w:hAnsi="Times New Roman" w:cs="Times New Roman"/>
          <w:sz w:val="24"/>
          <w:szCs w:val="24"/>
        </w:rPr>
        <w:t>.</w:t>
      </w:r>
    </w:p>
    <w:p w:rsidR="00BB53D8" w:rsidRDefault="0095787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Cependant, </w:t>
      </w:r>
      <w:r w:rsidR="001B7F74">
        <w:rPr>
          <w:rFonts w:ascii="Times New Roman" w:hAnsi="Times New Roman" w:cs="Times New Roman"/>
          <w:sz w:val="24"/>
          <w:szCs w:val="24"/>
        </w:rPr>
        <w:t>en l’état encore embryonnaire tant de la législation que de la jurisprudence de la CEDEAO, il est difficile de faire une étude sur le mécanisme du renvoi préjudiciel</w:t>
      </w:r>
      <w:r w:rsidR="003F1A3D">
        <w:rPr>
          <w:rFonts w:ascii="Times New Roman" w:hAnsi="Times New Roman" w:cs="Times New Roman"/>
          <w:sz w:val="24"/>
          <w:szCs w:val="24"/>
        </w:rPr>
        <w:t xml:space="preserve"> sans recourir à sa sou</w:t>
      </w:r>
      <w:r w:rsidR="00856A6C">
        <w:rPr>
          <w:rFonts w:ascii="Times New Roman" w:hAnsi="Times New Roman" w:cs="Times New Roman"/>
          <w:sz w:val="24"/>
          <w:szCs w:val="24"/>
        </w:rPr>
        <w:t>rce d’inspiration originelle, qu’est le</w:t>
      </w:r>
      <w:r w:rsidR="003F1A3D">
        <w:rPr>
          <w:rFonts w:ascii="Times New Roman" w:hAnsi="Times New Roman" w:cs="Times New Roman"/>
          <w:sz w:val="24"/>
          <w:szCs w:val="24"/>
        </w:rPr>
        <w:t xml:space="preserve"> droit communautaire européen. </w:t>
      </w:r>
      <w:r w:rsidRPr="00695693">
        <w:rPr>
          <w:rFonts w:ascii="Times New Roman" w:hAnsi="Times New Roman" w:cs="Times New Roman"/>
          <w:sz w:val="24"/>
          <w:szCs w:val="24"/>
        </w:rPr>
        <w:t>Pour ce faire, l’étude du renvoi préjudiciel devant le juge CEDEAO suppose</w:t>
      </w:r>
      <w:r w:rsidR="004E555D" w:rsidRPr="00695693">
        <w:rPr>
          <w:rFonts w:ascii="Times New Roman" w:hAnsi="Times New Roman" w:cs="Times New Roman"/>
          <w:sz w:val="24"/>
          <w:szCs w:val="24"/>
        </w:rPr>
        <w:t xml:space="preserve"> de définir p</w:t>
      </w:r>
      <w:r w:rsidR="00FE0B79" w:rsidRPr="00695693">
        <w:rPr>
          <w:rFonts w:ascii="Times New Roman" w:hAnsi="Times New Roman" w:cs="Times New Roman"/>
          <w:sz w:val="24"/>
          <w:szCs w:val="24"/>
        </w:rPr>
        <w:t xml:space="preserve">réalablement certains concepts. </w:t>
      </w:r>
      <w:r w:rsidR="004E555D" w:rsidRPr="00695693">
        <w:rPr>
          <w:rFonts w:ascii="Times New Roman" w:hAnsi="Times New Roman" w:cs="Times New Roman"/>
          <w:sz w:val="24"/>
          <w:szCs w:val="24"/>
        </w:rPr>
        <w:t>A</w:t>
      </w:r>
      <w:r w:rsidR="00694424" w:rsidRPr="00695693">
        <w:rPr>
          <w:rFonts w:ascii="Times New Roman" w:hAnsi="Times New Roman" w:cs="Times New Roman"/>
          <w:sz w:val="24"/>
          <w:szCs w:val="24"/>
        </w:rPr>
        <w:t>insi,</w:t>
      </w:r>
      <w:r w:rsidR="009E11D9">
        <w:rPr>
          <w:rFonts w:ascii="Times New Roman" w:hAnsi="Times New Roman" w:cs="Times New Roman"/>
          <w:sz w:val="24"/>
          <w:szCs w:val="24"/>
        </w:rPr>
        <w:t>dans le dictionnaire du</w:t>
      </w:r>
      <w:r w:rsidR="00F636EC">
        <w:rPr>
          <w:rFonts w:ascii="Times New Roman" w:hAnsi="Times New Roman" w:cs="Times New Roman"/>
          <w:sz w:val="24"/>
          <w:szCs w:val="24"/>
        </w:rPr>
        <w:t xml:space="preserve"> droit international public, le renvoi préjudiciel est défini comme un mécanisme, une procédure enclenchée par le juge national lorsqu’une </w:t>
      </w:r>
      <w:r w:rsidR="00F636EC">
        <w:rPr>
          <w:rFonts w:ascii="Times New Roman" w:hAnsi="Times New Roman" w:cs="Times New Roman"/>
          <w:sz w:val="24"/>
          <w:szCs w:val="24"/>
        </w:rPr>
        <w:lastRenderedPageBreak/>
        <w:t xml:space="preserve">question incidemment posée par l’une des parties au procès ne </w:t>
      </w:r>
      <w:r w:rsidR="004C66A2">
        <w:rPr>
          <w:rFonts w:ascii="Times New Roman" w:hAnsi="Times New Roman" w:cs="Times New Roman"/>
          <w:sz w:val="24"/>
          <w:szCs w:val="24"/>
        </w:rPr>
        <w:t>relève</w:t>
      </w:r>
      <w:r w:rsidR="00F636EC">
        <w:rPr>
          <w:rFonts w:ascii="Times New Roman" w:hAnsi="Times New Roman" w:cs="Times New Roman"/>
          <w:sz w:val="24"/>
          <w:szCs w:val="24"/>
        </w:rPr>
        <w:t xml:space="preserve"> pas de sa compétence</w:t>
      </w:r>
      <w:r w:rsidR="00F636EC">
        <w:rPr>
          <w:rStyle w:val="Appelnotedebasdep"/>
          <w:rFonts w:ascii="Times New Roman" w:hAnsi="Times New Roman" w:cs="Times New Roman"/>
          <w:sz w:val="24"/>
          <w:szCs w:val="24"/>
        </w:rPr>
        <w:footnoteReference w:id="5"/>
      </w:r>
      <w:r w:rsidR="004C66A2">
        <w:rPr>
          <w:rFonts w:ascii="Times New Roman" w:hAnsi="Times New Roman" w:cs="Times New Roman"/>
          <w:sz w:val="24"/>
          <w:szCs w:val="24"/>
        </w:rPr>
        <w:t>. J</w:t>
      </w:r>
      <w:r w:rsidR="00694424" w:rsidRPr="00695693">
        <w:rPr>
          <w:rFonts w:ascii="Times New Roman" w:hAnsi="Times New Roman" w:cs="Times New Roman"/>
          <w:sz w:val="24"/>
          <w:szCs w:val="24"/>
        </w:rPr>
        <w:t>uridiquement, le renvoi préjudiciel a fait l’</w:t>
      </w:r>
      <w:r w:rsidR="00FE0B79" w:rsidRPr="00695693">
        <w:rPr>
          <w:rFonts w:ascii="Times New Roman" w:hAnsi="Times New Roman" w:cs="Times New Roman"/>
          <w:sz w:val="24"/>
          <w:szCs w:val="24"/>
        </w:rPr>
        <w:t xml:space="preserve">objet de plusieurs définitions. </w:t>
      </w:r>
    </w:p>
    <w:p w:rsidR="00FE0B79"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Du point de vue textuel, </w:t>
      </w:r>
      <w:r w:rsidR="003659C6" w:rsidRPr="00695693">
        <w:rPr>
          <w:rFonts w:ascii="Times New Roman" w:hAnsi="Times New Roman" w:cs="Times New Roman"/>
          <w:sz w:val="24"/>
          <w:szCs w:val="24"/>
        </w:rPr>
        <w:t xml:space="preserve">il </w:t>
      </w:r>
      <w:r w:rsidRPr="00695693">
        <w:rPr>
          <w:rFonts w:ascii="Times New Roman" w:hAnsi="Times New Roman" w:cs="Times New Roman"/>
          <w:sz w:val="24"/>
          <w:szCs w:val="24"/>
        </w:rPr>
        <w:t>est défini</w:t>
      </w:r>
      <w:r w:rsidR="003C57D9">
        <w:rPr>
          <w:rFonts w:ascii="Times New Roman" w:hAnsi="Times New Roman" w:cs="Times New Roman"/>
          <w:sz w:val="24"/>
          <w:szCs w:val="24"/>
        </w:rPr>
        <w:t xml:space="preserve"> en référence </w:t>
      </w:r>
      <w:r w:rsidR="00323B4E">
        <w:rPr>
          <w:rFonts w:ascii="Times New Roman" w:hAnsi="Times New Roman" w:cs="Times New Roman"/>
          <w:sz w:val="24"/>
          <w:szCs w:val="24"/>
        </w:rPr>
        <w:t xml:space="preserve">au droit communautaire européen et notamment </w:t>
      </w:r>
      <w:r w:rsidR="003C57D9">
        <w:rPr>
          <w:rFonts w:ascii="Times New Roman" w:hAnsi="Times New Roman" w:cs="Times New Roman"/>
          <w:sz w:val="24"/>
          <w:szCs w:val="24"/>
        </w:rPr>
        <w:t>à l’</w:t>
      </w:r>
      <w:r w:rsidRPr="00695693">
        <w:rPr>
          <w:rFonts w:ascii="Times New Roman" w:hAnsi="Times New Roman" w:cs="Times New Roman"/>
          <w:sz w:val="24"/>
          <w:szCs w:val="24"/>
        </w:rPr>
        <w:t>article</w:t>
      </w:r>
      <w:r w:rsidR="003C57D9">
        <w:rPr>
          <w:rFonts w:ascii="Times New Roman" w:hAnsi="Times New Roman" w:cs="Times New Roman"/>
          <w:sz w:val="24"/>
          <w:szCs w:val="24"/>
        </w:rPr>
        <w:t xml:space="preserve"> 19,§ 3 point b du Traité sur l’Union européenne (ci-après dénommé TUE) et l’article </w:t>
      </w:r>
      <w:r w:rsidRPr="00695693">
        <w:rPr>
          <w:rFonts w:ascii="Times New Roman" w:hAnsi="Times New Roman" w:cs="Times New Roman"/>
          <w:sz w:val="24"/>
          <w:szCs w:val="24"/>
        </w:rPr>
        <w:t>267 du Traité sur le fonctionnement de l’Union européenne</w:t>
      </w:r>
      <w:r w:rsidR="008E10C7" w:rsidRPr="00695693">
        <w:rPr>
          <w:rFonts w:ascii="Times New Roman" w:hAnsi="Times New Roman" w:cs="Times New Roman"/>
          <w:sz w:val="24"/>
          <w:szCs w:val="24"/>
        </w:rPr>
        <w:t xml:space="preserve"> (ci-après dénommé TFUE)</w:t>
      </w:r>
      <w:r w:rsidRPr="00695693">
        <w:rPr>
          <w:rFonts w:ascii="Times New Roman" w:hAnsi="Times New Roman" w:cs="Times New Roman"/>
          <w:sz w:val="24"/>
          <w:szCs w:val="24"/>
        </w:rPr>
        <w:t xml:space="preserve"> comme un mécanisme de coopération</w:t>
      </w:r>
      <w:r w:rsidR="008F292D" w:rsidRPr="00695693">
        <w:rPr>
          <w:rStyle w:val="Appelnotedebasdep"/>
          <w:rFonts w:ascii="Times New Roman" w:hAnsi="Times New Roman" w:cs="Times New Roman"/>
          <w:sz w:val="24"/>
          <w:szCs w:val="24"/>
        </w:rPr>
        <w:footnoteReference w:id="6"/>
      </w:r>
      <w:r w:rsidRPr="00695693">
        <w:rPr>
          <w:rFonts w:ascii="Times New Roman" w:hAnsi="Times New Roman" w:cs="Times New Roman"/>
          <w:sz w:val="24"/>
          <w:szCs w:val="24"/>
        </w:rPr>
        <w:t xml:space="preserve"> entre le juge national et le juge de l’Union européenne (Cour de justice) permettant au premier de saisir le second dès lors qu’il estime qu’un élément du droit de l’Union européenne (primaire ou dérivé) doit être interprété (renvoi préjudiciel en interprétation) ou validé (renvoi préjudiciel en appréciati</w:t>
      </w:r>
      <w:r w:rsidR="00FE0B79" w:rsidRPr="00695693">
        <w:rPr>
          <w:rFonts w:ascii="Times New Roman" w:hAnsi="Times New Roman" w:cs="Times New Roman"/>
          <w:sz w:val="24"/>
          <w:szCs w:val="24"/>
        </w:rPr>
        <w:t>on de validité).</w:t>
      </w:r>
    </w:p>
    <w:p w:rsidR="00E310DA" w:rsidRDefault="00694424" w:rsidP="00695693">
      <w:pPr>
        <w:spacing w:line="360" w:lineRule="auto"/>
        <w:jc w:val="both"/>
        <w:rPr>
          <w:rFonts w:ascii="Times New Roman" w:hAnsi="Times New Roman" w:cs="Times New Roman"/>
          <w:color w:val="FF0000"/>
          <w:sz w:val="24"/>
          <w:szCs w:val="24"/>
        </w:rPr>
      </w:pPr>
      <w:r w:rsidRPr="00695693">
        <w:rPr>
          <w:rFonts w:ascii="Times New Roman" w:hAnsi="Times New Roman" w:cs="Times New Roman"/>
          <w:sz w:val="24"/>
          <w:szCs w:val="24"/>
        </w:rPr>
        <w:t>Du point de vue de la doctrine, le renvoi préjudiciel es</w:t>
      </w:r>
      <w:r w:rsidR="00FE0B79" w:rsidRPr="00695693">
        <w:rPr>
          <w:rFonts w:ascii="Times New Roman" w:hAnsi="Times New Roman" w:cs="Times New Roman"/>
          <w:sz w:val="24"/>
          <w:szCs w:val="24"/>
        </w:rPr>
        <w:t xml:space="preserve">t défini par plusieurs auteurs. </w:t>
      </w:r>
      <w:r w:rsidR="007C3D68" w:rsidRPr="00695693">
        <w:rPr>
          <w:rFonts w:ascii="Times New Roman" w:hAnsi="Times New Roman" w:cs="Times New Roman"/>
          <w:sz w:val="24"/>
          <w:szCs w:val="24"/>
        </w:rPr>
        <w:t>Ainsi, le professeur Guy ISAAC</w:t>
      </w:r>
      <w:r w:rsidR="003659C6" w:rsidRPr="00695693">
        <w:rPr>
          <w:rFonts w:ascii="Times New Roman" w:hAnsi="Times New Roman" w:cs="Times New Roman"/>
          <w:sz w:val="24"/>
          <w:szCs w:val="24"/>
        </w:rPr>
        <w:t xml:space="preserve">le </w:t>
      </w:r>
      <w:r w:rsidR="00B107E8" w:rsidRPr="00695693">
        <w:rPr>
          <w:rFonts w:ascii="Times New Roman" w:hAnsi="Times New Roman" w:cs="Times New Roman"/>
          <w:sz w:val="24"/>
          <w:szCs w:val="24"/>
        </w:rPr>
        <w:t xml:space="preserve">définit </w:t>
      </w:r>
      <w:r w:rsidRPr="00695693">
        <w:rPr>
          <w:rFonts w:ascii="Times New Roman" w:hAnsi="Times New Roman" w:cs="Times New Roman"/>
          <w:sz w:val="24"/>
          <w:szCs w:val="24"/>
        </w:rPr>
        <w:t>comme un mécanisme de coopération judiciaire permettant « </w:t>
      </w:r>
      <w:r w:rsidRPr="00695693">
        <w:rPr>
          <w:rFonts w:ascii="Times New Roman" w:hAnsi="Times New Roman" w:cs="Times New Roman"/>
          <w:i/>
          <w:sz w:val="24"/>
          <w:szCs w:val="24"/>
        </w:rPr>
        <w:t>aux juridictions nationales, qui ont à appliquer le droit communautaire à un litige porté devant elles, de prononcer un sursis à statuer et d’interroger la cour sur l’interprétation ou la validité de celui-ci</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7"/>
      </w:r>
      <w:r w:rsidRPr="00695693">
        <w:rPr>
          <w:rFonts w:ascii="Times New Roman" w:hAnsi="Times New Roman" w:cs="Times New Roman"/>
          <w:sz w:val="24"/>
          <w:szCs w:val="24"/>
        </w:rPr>
        <w:t>. Cette définition rejoint celle donnée par le professeur BLUMANN et autres. Pour ces derniers, l</w:t>
      </w:r>
      <w:r w:rsidR="009C5FF7" w:rsidRPr="00695693">
        <w:rPr>
          <w:rFonts w:ascii="Times New Roman" w:hAnsi="Times New Roman" w:cs="Times New Roman"/>
          <w:sz w:val="24"/>
          <w:szCs w:val="24"/>
        </w:rPr>
        <w:t>e renvoi préjudiciel est défini</w:t>
      </w:r>
      <w:r w:rsidRPr="00695693">
        <w:rPr>
          <w:rFonts w:ascii="Times New Roman" w:hAnsi="Times New Roman" w:cs="Times New Roman"/>
          <w:sz w:val="24"/>
          <w:szCs w:val="24"/>
        </w:rPr>
        <w:t xml:space="preserve"> comme une «</w:t>
      </w:r>
      <w:r w:rsidRPr="00695693">
        <w:rPr>
          <w:rFonts w:ascii="Times New Roman" w:hAnsi="Times New Roman" w:cs="Times New Roman"/>
          <w:i/>
          <w:sz w:val="24"/>
          <w:szCs w:val="24"/>
        </w:rPr>
        <w:t> procédure par laquelle une juridiction nationale pose à la Cour de justice une question portant sur l’interprétation ou l’appréciation de validité d’une norme communautaire applicable au litige dont elle est saisie</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8"/>
      </w:r>
      <w:r w:rsidR="00C81243" w:rsidRPr="00695693">
        <w:rPr>
          <w:rFonts w:ascii="Times New Roman" w:hAnsi="Times New Roman" w:cs="Times New Roman"/>
          <w:sz w:val="24"/>
          <w:szCs w:val="24"/>
        </w:rPr>
        <w:t>.</w:t>
      </w:r>
    </w:p>
    <w:p w:rsidR="00390DD7" w:rsidRPr="00C50E5F" w:rsidRDefault="00694424" w:rsidP="00695693">
      <w:pPr>
        <w:spacing w:line="360" w:lineRule="auto"/>
        <w:jc w:val="both"/>
        <w:rPr>
          <w:rFonts w:ascii="Times New Roman" w:hAnsi="Times New Roman" w:cs="Times New Roman"/>
          <w:color w:val="FF0000"/>
          <w:sz w:val="24"/>
          <w:szCs w:val="24"/>
        </w:rPr>
      </w:pPr>
      <w:r w:rsidRPr="00695693">
        <w:rPr>
          <w:rFonts w:ascii="Times New Roman" w:hAnsi="Times New Roman" w:cs="Times New Roman"/>
          <w:sz w:val="24"/>
          <w:szCs w:val="24"/>
        </w:rPr>
        <w:t>Du point de vue de la jurisprudence, le renvoi préjudiciel est considéré comme un procédé technique choisi par les rédacteurs des Traités pour assurer l’application uniforme du droit communautaire et, plus exactement « </w:t>
      </w:r>
      <w:r w:rsidRPr="00695693">
        <w:rPr>
          <w:rFonts w:ascii="Times New Roman" w:hAnsi="Times New Roman" w:cs="Times New Roman"/>
          <w:i/>
          <w:sz w:val="24"/>
          <w:szCs w:val="24"/>
        </w:rPr>
        <w:t>assurer en toutes circonstances à ce droit le même effet dans tous les Etats membres de la communauté</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9"/>
      </w:r>
      <w:r w:rsidRPr="00695693">
        <w:rPr>
          <w:rFonts w:ascii="Times New Roman" w:hAnsi="Times New Roman" w:cs="Times New Roman"/>
          <w:sz w:val="24"/>
          <w:szCs w:val="24"/>
        </w:rPr>
        <w:t>. Dans une autre affaire, la</w:t>
      </w:r>
      <w:r w:rsidR="007A05F4" w:rsidRPr="00695693">
        <w:rPr>
          <w:rFonts w:ascii="Times New Roman" w:hAnsi="Times New Roman" w:cs="Times New Roman"/>
          <w:sz w:val="24"/>
          <w:szCs w:val="24"/>
        </w:rPr>
        <w:t xml:space="preserve"> Cour de j</w:t>
      </w:r>
      <w:r w:rsidR="000E51C8" w:rsidRPr="00695693">
        <w:rPr>
          <w:rFonts w:ascii="Times New Roman" w:hAnsi="Times New Roman" w:cs="Times New Roman"/>
          <w:sz w:val="24"/>
          <w:szCs w:val="24"/>
        </w:rPr>
        <w:t xml:space="preserve">ustice des communautés européennes (ci-après dénommée </w:t>
      </w:r>
      <w:r w:rsidRPr="00695693">
        <w:rPr>
          <w:rFonts w:ascii="Times New Roman" w:hAnsi="Times New Roman" w:cs="Times New Roman"/>
          <w:sz w:val="24"/>
          <w:szCs w:val="24"/>
        </w:rPr>
        <w:t>C.J.C.E.</w:t>
      </w:r>
      <w:r w:rsidR="000E51C8" w:rsidRPr="00695693">
        <w:rPr>
          <w:rFonts w:ascii="Times New Roman" w:hAnsi="Times New Roman" w:cs="Times New Roman"/>
          <w:sz w:val="24"/>
          <w:szCs w:val="24"/>
        </w:rPr>
        <w:t>)</w:t>
      </w:r>
      <w:r w:rsidR="00950F73">
        <w:rPr>
          <w:rFonts w:ascii="Times New Roman" w:hAnsi="Times New Roman" w:cs="Times New Roman"/>
          <w:sz w:val="24"/>
          <w:szCs w:val="24"/>
        </w:rPr>
        <w:t xml:space="preserve">le </w:t>
      </w:r>
      <w:r w:rsidRPr="00695693">
        <w:rPr>
          <w:rFonts w:ascii="Times New Roman" w:hAnsi="Times New Roman" w:cs="Times New Roman"/>
          <w:sz w:val="24"/>
          <w:szCs w:val="24"/>
        </w:rPr>
        <w:t>définit comme un mécanisme de « </w:t>
      </w:r>
      <w:r w:rsidRPr="00695693">
        <w:rPr>
          <w:rFonts w:ascii="Times New Roman" w:hAnsi="Times New Roman" w:cs="Times New Roman"/>
          <w:i/>
          <w:sz w:val="24"/>
          <w:szCs w:val="24"/>
        </w:rPr>
        <w:t>coopération judiciaire</w:t>
      </w:r>
      <w:r w:rsidRPr="00695693">
        <w:rPr>
          <w:rFonts w:ascii="Times New Roman" w:hAnsi="Times New Roman" w:cs="Times New Roman"/>
          <w:sz w:val="24"/>
          <w:szCs w:val="24"/>
        </w:rPr>
        <w:t> », par lequel « </w:t>
      </w:r>
      <w:r w:rsidRPr="00695693">
        <w:rPr>
          <w:rFonts w:ascii="Times New Roman" w:hAnsi="Times New Roman" w:cs="Times New Roman"/>
          <w:i/>
          <w:sz w:val="24"/>
          <w:szCs w:val="24"/>
        </w:rPr>
        <w:t xml:space="preserve">juridiction nationale et Cour de justice, dans l’ordre de leurs compétences propres, sont appelées à contribuer directement et </w:t>
      </w:r>
      <w:r w:rsidRPr="00695693">
        <w:rPr>
          <w:rFonts w:ascii="Times New Roman" w:hAnsi="Times New Roman" w:cs="Times New Roman"/>
          <w:i/>
          <w:sz w:val="24"/>
          <w:szCs w:val="24"/>
        </w:rPr>
        <w:lastRenderedPageBreak/>
        <w:t>réciproquement à l’élaboration d’une décision</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10"/>
      </w:r>
      <w:r w:rsidR="00FE0B79" w:rsidRPr="00695693">
        <w:rPr>
          <w:rFonts w:ascii="Times New Roman" w:hAnsi="Times New Roman" w:cs="Times New Roman"/>
          <w:sz w:val="24"/>
          <w:szCs w:val="24"/>
        </w:rPr>
        <w:t xml:space="preserve">. </w:t>
      </w:r>
      <w:r w:rsidR="00244C4C">
        <w:rPr>
          <w:rFonts w:ascii="Times New Roman" w:hAnsi="Times New Roman" w:cs="Times New Roman"/>
          <w:sz w:val="24"/>
          <w:szCs w:val="24"/>
        </w:rPr>
        <w:t xml:space="preserve">L’idée fondamentale sous-jacente à toutes </w:t>
      </w:r>
      <w:r w:rsidRPr="00695693">
        <w:rPr>
          <w:rFonts w:ascii="Times New Roman" w:hAnsi="Times New Roman" w:cs="Times New Roman"/>
          <w:sz w:val="24"/>
          <w:szCs w:val="24"/>
        </w:rPr>
        <w:t xml:space="preserve">ces </w:t>
      </w:r>
      <w:r w:rsidR="00244C4C">
        <w:rPr>
          <w:rFonts w:ascii="Times New Roman" w:hAnsi="Times New Roman" w:cs="Times New Roman"/>
          <w:sz w:val="24"/>
          <w:szCs w:val="24"/>
        </w:rPr>
        <w:t xml:space="preserve">différentes </w:t>
      </w:r>
      <w:r w:rsidR="000F1683">
        <w:rPr>
          <w:rFonts w:ascii="Times New Roman" w:hAnsi="Times New Roman" w:cs="Times New Roman"/>
          <w:sz w:val="24"/>
          <w:szCs w:val="24"/>
        </w:rPr>
        <w:t xml:space="preserve">approches </w:t>
      </w:r>
      <w:r w:rsidRPr="00695693">
        <w:rPr>
          <w:rFonts w:ascii="Times New Roman" w:hAnsi="Times New Roman" w:cs="Times New Roman"/>
          <w:sz w:val="24"/>
          <w:szCs w:val="24"/>
        </w:rPr>
        <w:t>définition</w:t>
      </w:r>
      <w:r w:rsidR="000F1683">
        <w:rPr>
          <w:rFonts w:ascii="Times New Roman" w:hAnsi="Times New Roman" w:cs="Times New Roman"/>
          <w:sz w:val="24"/>
          <w:szCs w:val="24"/>
        </w:rPr>
        <w:t>nelles</w:t>
      </w:r>
      <w:r w:rsidRPr="00695693">
        <w:rPr>
          <w:rFonts w:ascii="Times New Roman" w:hAnsi="Times New Roman" w:cs="Times New Roman"/>
          <w:sz w:val="24"/>
          <w:szCs w:val="24"/>
        </w:rPr>
        <w:t xml:space="preserve"> et plusieurs autres</w:t>
      </w:r>
      <w:r w:rsidRPr="00695693">
        <w:rPr>
          <w:rStyle w:val="Appelnotedebasdep"/>
          <w:rFonts w:ascii="Times New Roman" w:hAnsi="Times New Roman" w:cs="Times New Roman"/>
          <w:sz w:val="24"/>
          <w:szCs w:val="24"/>
        </w:rPr>
        <w:footnoteReference w:id="11"/>
      </w:r>
      <w:r w:rsidR="00244C4C">
        <w:rPr>
          <w:rFonts w:ascii="Times New Roman" w:hAnsi="Times New Roman" w:cs="Times New Roman"/>
          <w:sz w:val="24"/>
          <w:szCs w:val="24"/>
        </w:rPr>
        <w:t xml:space="preserve"> est d’assurer une </w:t>
      </w:r>
      <w:r w:rsidR="00C50E5F">
        <w:rPr>
          <w:rFonts w:ascii="Times New Roman" w:hAnsi="Times New Roman" w:cs="Times New Roman"/>
          <w:sz w:val="24"/>
          <w:szCs w:val="24"/>
        </w:rPr>
        <w:t xml:space="preserve">collaboration entre la Cour de justice communautaire et les juridictions nationales des Etats membres. Cette collaboration </w:t>
      </w:r>
      <w:r w:rsidR="00C50E5F" w:rsidRPr="00C50E5F">
        <w:rPr>
          <w:rFonts w:ascii="Times New Roman" w:hAnsi="Times New Roman" w:cs="Times New Roman"/>
          <w:sz w:val="24"/>
          <w:szCs w:val="24"/>
        </w:rPr>
        <w:t xml:space="preserve">de « </w:t>
      </w:r>
      <w:r w:rsidR="00C50E5F" w:rsidRPr="00C50E5F">
        <w:rPr>
          <w:rFonts w:ascii="Times New Roman" w:hAnsi="Times New Roman" w:cs="Times New Roman"/>
          <w:i/>
          <w:sz w:val="24"/>
          <w:szCs w:val="24"/>
        </w:rPr>
        <w:t>juge à juge</w:t>
      </w:r>
      <w:r w:rsidR="00C50E5F" w:rsidRPr="00C50E5F">
        <w:rPr>
          <w:rFonts w:ascii="Times New Roman" w:hAnsi="Times New Roman" w:cs="Times New Roman"/>
          <w:sz w:val="24"/>
          <w:szCs w:val="24"/>
        </w:rPr>
        <w:t xml:space="preserve"> » </w:t>
      </w:r>
      <w:r w:rsidR="00C50E5F">
        <w:rPr>
          <w:rFonts w:ascii="Times New Roman" w:hAnsi="Times New Roman" w:cs="Times New Roman"/>
          <w:sz w:val="24"/>
          <w:szCs w:val="24"/>
        </w:rPr>
        <w:t xml:space="preserve">est </w:t>
      </w:r>
      <w:r w:rsidR="00C50E5F" w:rsidRPr="00C50E5F">
        <w:rPr>
          <w:rFonts w:ascii="Times New Roman" w:hAnsi="Times New Roman" w:cs="Times New Roman"/>
          <w:sz w:val="24"/>
          <w:szCs w:val="24"/>
        </w:rPr>
        <w:t xml:space="preserve">organisée </w:t>
      </w:r>
      <w:r w:rsidR="00221526">
        <w:rPr>
          <w:rFonts w:ascii="Times New Roman" w:hAnsi="Times New Roman" w:cs="Times New Roman"/>
          <w:sz w:val="24"/>
          <w:szCs w:val="24"/>
        </w:rPr>
        <w:t xml:space="preserve">dans une procédure </w:t>
      </w:r>
      <w:r w:rsidR="00C50E5F" w:rsidRPr="00C50E5F">
        <w:rPr>
          <w:rFonts w:ascii="Times New Roman" w:hAnsi="Times New Roman" w:cs="Times New Roman"/>
          <w:sz w:val="24"/>
          <w:szCs w:val="24"/>
        </w:rPr>
        <w:t>suivant une séquence ternaire : en premier lieu intervient une question posée par le juge national ; vient en deuxième lieu la réponse de la Cour, et enfin l’application par le juge national qui règle le litige à la lumière de ce qui a été tranché par la Cour de justice communautaire</w:t>
      </w:r>
      <w:r w:rsidR="00C50E5F">
        <w:rPr>
          <w:rStyle w:val="Appelnotedebasdep"/>
          <w:rFonts w:ascii="Times New Roman" w:hAnsi="Times New Roman" w:cs="Times New Roman"/>
          <w:sz w:val="24"/>
          <w:szCs w:val="24"/>
        </w:rPr>
        <w:footnoteReference w:id="12"/>
      </w:r>
      <w:r w:rsidR="00C50E5F" w:rsidRPr="00C50E5F">
        <w:rPr>
          <w:rFonts w:ascii="Times New Roman" w:hAnsi="Times New Roman" w:cs="Times New Roman"/>
          <w:sz w:val="24"/>
          <w:szCs w:val="24"/>
        </w:rPr>
        <w:t>.</w:t>
      </w:r>
    </w:p>
    <w:p w:rsidR="00694424" w:rsidRPr="00695693" w:rsidRDefault="000F712C" w:rsidP="00695693">
      <w:pPr>
        <w:spacing w:line="360" w:lineRule="auto"/>
        <w:jc w:val="both"/>
        <w:rPr>
          <w:rFonts w:ascii="Times New Roman" w:hAnsi="Times New Roman" w:cs="Times New Roman"/>
          <w:sz w:val="24"/>
          <w:szCs w:val="24"/>
        </w:rPr>
      </w:pPr>
      <w:r>
        <w:rPr>
          <w:rFonts w:ascii="Times New Roman" w:hAnsi="Times New Roman" w:cs="Times New Roman"/>
          <w:sz w:val="24"/>
          <w:szCs w:val="24"/>
        </w:rPr>
        <w:t>La question peut porter sur l’interprétation du droit de la communauté ou viser le contrôle de la validité d’un acte de la communauté</w:t>
      </w:r>
      <w:r>
        <w:rPr>
          <w:rStyle w:val="Appelnotedebasdep"/>
          <w:rFonts w:ascii="Times New Roman" w:hAnsi="Times New Roman" w:cs="Times New Roman"/>
          <w:sz w:val="24"/>
          <w:szCs w:val="24"/>
        </w:rPr>
        <w:footnoteReference w:id="13"/>
      </w:r>
      <w:r w:rsidR="00694424" w:rsidRPr="00695693">
        <w:rPr>
          <w:rFonts w:ascii="Times New Roman" w:hAnsi="Times New Roman" w:cs="Times New Roman"/>
          <w:sz w:val="24"/>
          <w:szCs w:val="24"/>
        </w:rPr>
        <w:t>et qui relève en conséquence de la compétence exclusive de la Cour de justice. A cet é</w:t>
      </w:r>
      <w:r w:rsidR="00983CB5" w:rsidRPr="00695693">
        <w:rPr>
          <w:rFonts w:ascii="Times New Roman" w:hAnsi="Times New Roman" w:cs="Times New Roman"/>
          <w:sz w:val="24"/>
          <w:szCs w:val="24"/>
        </w:rPr>
        <w:t>gard, il y a lieu de noter que c</w:t>
      </w:r>
      <w:r w:rsidR="00694424" w:rsidRPr="00695693">
        <w:rPr>
          <w:rFonts w:ascii="Times New Roman" w:hAnsi="Times New Roman" w:cs="Times New Roman"/>
          <w:sz w:val="24"/>
          <w:szCs w:val="24"/>
        </w:rPr>
        <w:t>e mécanisme de renvoi préjudiciel joue un rôle important puisqu’il instaure une coopération judiciaire entre les juridic</w:t>
      </w:r>
      <w:r w:rsidR="007A05F4" w:rsidRPr="00695693">
        <w:rPr>
          <w:rFonts w:ascii="Times New Roman" w:hAnsi="Times New Roman" w:cs="Times New Roman"/>
          <w:sz w:val="24"/>
          <w:szCs w:val="24"/>
        </w:rPr>
        <w:t>tions nationales et la Cour de j</w:t>
      </w:r>
      <w:r w:rsidR="00694424" w:rsidRPr="00695693">
        <w:rPr>
          <w:rFonts w:ascii="Times New Roman" w:hAnsi="Times New Roman" w:cs="Times New Roman"/>
          <w:sz w:val="24"/>
          <w:szCs w:val="24"/>
        </w:rPr>
        <w:t>ustice</w:t>
      </w:r>
      <w:r w:rsidR="009D4660">
        <w:rPr>
          <w:rStyle w:val="Appelnotedebasdep"/>
          <w:rFonts w:ascii="Times New Roman" w:hAnsi="Times New Roman" w:cs="Times New Roman"/>
          <w:sz w:val="24"/>
          <w:szCs w:val="24"/>
        </w:rPr>
        <w:footnoteReference w:id="14"/>
      </w:r>
      <w:r w:rsidR="004373BB">
        <w:rPr>
          <w:rFonts w:ascii="Times New Roman" w:hAnsi="Times New Roman" w:cs="Times New Roman"/>
          <w:sz w:val="24"/>
          <w:szCs w:val="24"/>
        </w:rPr>
        <w:t>en vue d’assurer une application homogène du droit de la communauté et éviter toute interprétation divergente dans les Etats membres</w:t>
      </w:r>
      <w:r w:rsidR="004373BB">
        <w:rPr>
          <w:rStyle w:val="Appelnotedebasdep"/>
          <w:rFonts w:ascii="Times New Roman" w:hAnsi="Times New Roman" w:cs="Times New Roman"/>
          <w:sz w:val="24"/>
          <w:szCs w:val="24"/>
        </w:rPr>
        <w:footnoteReference w:id="15"/>
      </w:r>
      <w:r w:rsidR="004373BB">
        <w:rPr>
          <w:rFonts w:ascii="Times New Roman" w:hAnsi="Times New Roman" w:cs="Times New Roman"/>
          <w:sz w:val="24"/>
          <w:szCs w:val="24"/>
        </w:rPr>
        <w:t xml:space="preserve">. </w:t>
      </w:r>
      <w:r w:rsidR="0015583D">
        <w:rPr>
          <w:rFonts w:ascii="Times New Roman" w:hAnsi="Times New Roman" w:cs="Times New Roman"/>
          <w:sz w:val="24"/>
          <w:szCs w:val="24"/>
        </w:rPr>
        <w:t>Pour dire toute la rationalité de cette institution procédurale, le professeur PERTEK établit avec la pratique médicinale la corrélation suivante : « </w:t>
      </w:r>
      <w:r w:rsidR="0015583D" w:rsidRPr="0033626A">
        <w:rPr>
          <w:rFonts w:ascii="Times New Roman" w:hAnsi="Times New Roman" w:cs="Times New Roman"/>
          <w:i/>
          <w:sz w:val="24"/>
          <w:szCs w:val="24"/>
        </w:rPr>
        <w:t>dans cette coopération directe entre juges dont le mécanisme préjudiciel est l’instrument, on peut comparer le rapport qui s’établit entre les deux catégories de juges à celui qui existe, dans le domaine de la santé</w:t>
      </w:r>
      <w:r w:rsidR="0033626A" w:rsidRPr="0033626A">
        <w:rPr>
          <w:rFonts w:ascii="Times New Roman" w:hAnsi="Times New Roman" w:cs="Times New Roman"/>
          <w:i/>
          <w:sz w:val="24"/>
          <w:szCs w:val="24"/>
        </w:rPr>
        <w:t>, entre un généraliste et un spécialiste. Le juge généraliste qu’est le juge national est celui auquel on s’adresse normalement et en premier lieu ; le juge spécialiste qu’est la Cour de justice est celui qui est appelé à intervenir dans certains cas et par l’entremise du généraliste</w:t>
      </w:r>
      <w:r w:rsidR="0033626A">
        <w:rPr>
          <w:rFonts w:ascii="Times New Roman" w:hAnsi="Times New Roman" w:cs="Times New Roman"/>
          <w:sz w:val="24"/>
          <w:szCs w:val="24"/>
        </w:rPr>
        <w:t> »</w:t>
      </w:r>
      <w:r w:rsidR="0033626A">
        <w:rPr>
          <w:rStyle w:val="Appelnotedebasdep"/>
          <w:rFonts w:ascii="Times New Roman" w:hAnsi="Times New Roman" w:cs="Times New Roman"/>
          <w:sz w:val="24"/>
          <w:szCs w:val="24"/>
        </w:rPr>
        <w:footnoteReference w:id="16"/>
      </w:r>
      <w:r w:rsidR="0033626A">
        <w:rPr>
          <w:rFonts w:ascii="Times New Roman" w:hAnsi="Times New Roman" w:cs="Times New Roman"/>
          <w:sz w:val="24"/>
          <w:szCs w:val="24"/>
        </w:rPr>
        <w:t xml:space="preserve">. </w:t>
      </w:r>
      <w:r w:rsidR="00694424" w:rsidRPr="00695693">
        <w:rPr>
          <w:rFonts w:ascii="Times New Roman" w:hAnsi="Times New Roman" w:cs="Times New Roman"/>
          <w:sz w:val="24"/>
          <w:szCs w:val="24"/>
        </w:rPr>
        <w:t>Cette coopération ju</w:t>
      </w:r>
      <w:r w:rsidR="008E4611">
        <w:rPr>
          <w:rFonts w:ascii="Times New Roman" w:hAnsi="Times New Roman" w:cs="Times New Roman"/>
          <w:sz w:val="24"/>
          <w:szCs w:val="24"/>
        </w:rPr>
        <w:t>ri</w:t>
      </w:r>
      <w:r w:rsidR="00694424" w:rsidRPr="00695693">
        <w:rPr>
          <w:rFonts w:ascii="Times New Roman" w:hAnsi="Times New Roman" w:cs="Times New Roman"/>
          <w:sz w:val="24"/>
          <w:szCs w:val="24"/>
        </w:rPr>
        <w:t>dic</w:t>
      </w:r>
      <w:r w:rsidR="008E4611">
        <w:rPr>
          <w:rFonts w:ascii="Times New Roman" w:hAnsi="Times New Roman" w:cs="Times New Roman"/>
          <w:sz w:val="24"/>
          <w:szCs w:val="24"/>
        </w:rPr>
        <w:t>tionnelle</w:t>
      </w:r>
      <w:r w:rsidR="00B5653B" w:rsidRPr="00695693">
        <w:rPr>
          <w:rFonts w:ascii="Times New Roman" w:hAnsi="Times New Roman" w:cs="Times New Roman"/>
          <w:sz w:val="24"/>
          <w:szCs w:val="24"/>
        </w:rPr>
        <w:t>, alors même qu’elle constitue « </w:t>
      </w:r>
      <w:r w:rsidR="00B5653B" w:rsidRPr="00695693">
        <w:rPr>
          <w:rFonts w:ascii="Times New Roman" w:hAnsi="Times New Roman" w:cs="Times New Roman"/>
          <w:i/>
          <w:sz w:val="24"/>
          <w:szCs w:val="24"/>
        </w:rPr>
        <w:t xml:space="preserve">l’un des </w:t>
      </w:r>
      <w:r w:rsidR="00B5653B" w:rsidRPr="00695693">
        <w:rPr>
          <w:rFonts w:ascii="Times New Roman" w:hAnsi="Times New Roman" w:cs="Times New Roman"/>
          <w:i/>
          <w:sz w:val="24"/>
          <w:szCs w:val="24"/>
        </w:rPr>
        <w:lastRenderedPageBreak/>
        <w:t>aspects essentiels de la procédure de renvoi préjudiciel</w:t>
      </w:r>
      <w:r w:rsidR="00B5653B" w:rsidRPr="00695693">
        <w:rPr>
          <w:rFonts w:ascii="Times New Roman" w:hAnsi="Times New Roman" w:cs="Times New Roman"/>
          <w:sz w:val="24"/>
          <w:szCs w:val="24"/>
        </w:rPr>
        <w:t> »</w:t>
      </w:r>
      <w:r w:rsidR="00B5653B" w:rsidRPr="00695693">
        <w:rPr>
          <w:rStyle w:val="Appelnotedebasdep"/>
          <w:rFonts w:ascii="Times New Roman" w:hAnsi="Times New Roman" w:cs="Times New Roman"/>
          <w:sz w:val="24"/>
          <w:szCs w:val="24"/>
        </w:rPr>
        <w:footnoteReference w:id="17"/>
      </w:r>
      <w:r w:rsidR="00B5653B" w:rsidRPr="00695693">
        <w:rPr>
          <w:rFonts w:ascii="Times New Roman" w:hAnsi="Times New Roman" w:cs="Times New Roman"/>
          <w:sz w:val="24"/>
          <w:szCs w:val="24"/>
        </w:rPr>
        <w:t>,</w:t>
      </w:r>
      <w:r w:rsidR="00694424" w:rsidRPr="00695693">
        <w:rPr>
          <w:rFonts w:ascii="Times New Roman" w:hAnsi="Times New Roman" w:cs="Times New Roman"/>
          <w:sz w:val="24"/>
          <w:szCs w:val="24"/>
        </w:rPr>
        <w:t xml:space="preserve"> vise à prévenir et corriger les risques qui découlent de la répartition des compétences entre les juges nationaux, juge</w:t>
      </w:r>
      <w:r w:rsidR="000F3460" w:rsidRPr="00695693">
        <w:rPr>
          <w:rFonts w:ascii="Times New Roman" w:hAnsi="Times New Roman" w:cs="Times New Roman"/>
          <w:sz w:val="24"/>
          <w:szCs w:val="24"/>
        </w:rPr>
        <w:t>s</w:t>
      </w:r>
      <w:r w:rsidR="00694424" w:rsidRPr="00695693">
        <w:rPr>
          <w:rFonts w:ascii="Times New Roman" w:hAnsi="Times New Roman" w:cs="Times New Roman"/>
          <w:sz w:val="24"/>
          <w:szCs w:val="24"/>
        </w:rPr>
        <w:t xml:space="preserve"> de droit commun du contentieux communautaire</w:t>
      </w:r>
      <w:r w:rsidR="008249DB">
        <w:rPr>
          <w:rStyle w:val="Appelnotedebasdep"/>
          <w:rFonts w:ascii="Times New Roman" w:hAnsi="Times New Roman" w:cs="Times New Roman"/>
          <w:sz w:val="24"/>
          <w:szCs w:val="24"/>
        </w:rPr>
        <w:footnoteReference w:id="18"/>
      </w:r>
      <w:r w:rsidR="00694424" w:rsidRPr="00695693">
        <w:rPr>
          <w:rFonts w:ascii="Times New Roman" w:hAnsi="Times New Roman" w:cs="Times New Roman"/>
          <w:sz w:val="24"/>
          <w:szCs w:val="24"/>
        </w:rPr>
        <w:t>, et la juridiction communautaire, juge d’attribution. Toutefois, il n’est pas le seul instrument de prévention et de correction puisque ce rôle est assuré aussi par le recours en manquement d’Etat</w:t>
      </w:r>
      <w:r w:rsidR="00694424" w:rsidRPr="00695693">
        <w:rPr>
          <w:rStyle w:val="Appelnotedebasdep"/>
          <w:rFonts w:ascii="Times New Roman" w:hAnsi="Times New Roman" w:cs="Times New Roman"/>
          <w:sz w:val="24"/>
          <w:szCs w:val="24"/>
        </w:rPr>
        <w:footnoteReference w:id="19"/>
      </w:r>
      <w:r w:rsidR="00694424" w:rsidRPr="00695693">
        <w:rPr>
          <w:rFonts w:ascii="Times New Roman" w:hAnsi="Times New Roman" w:cs="Times New Roman"/>
          <w:sz w:val="24"/>
          <w:szCs w:val="24"/>
        </w:rPr>
        <w:t>.</w:t>
      </w:r>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A la suite de ce qui précède, le mécanisme du renvoi préjudiciel a donc pour avantage « </w:t>
      </w:r>
      <w:r w:rsidRPr="00695693">
        <w:rPr>
          <w:rFonts w:ascii="Times New Roman" w:hAnsi="Times New Roman" w:cs="Times New Roman"/>
          <w:i/>
          <w:sz w:val="24"/>
          <w:szCs w:val="24"/>
        </w:rPr>
        <w:t>une centralisation des problèmes d’interprétation du droit communautaire, la protection subséquente des droits des justiciables et l’élaboration d’une somme jurisprudentielle propre à éclairer la compréhension des tribunaux internes et à éviter ainsi des divergences d’interprétation susceptibles de saper les fondements de l’intégration communautaire</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20"/>
      </w:r>
      <w:r w:rsidRPr="00695693">
        <w:rPr>
          <w:rFonts w:ascii="Times New Roman" w:hAnsi="Times New Roman" w:cs="Times New Roman"/>
          <w:sz w:val="24"/>
          <w:szCs w:val="24"/>
        </w:rPr>
        <w:t>. Il permet également de développer ce fameux « </w:t>
      </w:r>
      <w:r w:rsidRPr="00695693">
        <w:rPr>
          <w:rFonts w:ascii="Times New Roman" w:hAnsi="Times New Roman" w:cs="Times New Roman"/>
          <w:i/>
          <w:sz w:val="24"/>
          <w:szCs w:val="24"/>
        </w:rPr>
        <w:t>dialogues des juges</w:t>
      </w:r>
      <w:r w:rsidRPr="00695693">
        <w:rPr>
          <w:rFonts w:ascii="Times New Roman" w:hAnsi="Times New Roman" w:cs="Times New Roman"/>
          <w:sz w:val="24"/>
          <w:szCs w:val="24"/>
        </w:rPr>
        <w:t> »</w:t>
      </w:r>
      <w:r w:rsidR="00824AD8">
        <w:rPr>
          <w:rStyle w:val="Appelnotedebasdep"/>
          <w:rFonts w:ascii="Times New Roman" w:hAnsi="Times New Roman" w:cs="Times New Roman"/>
          <w:sz w:val="24"/>
          <w:szCs w:val="24"/>
        </w:rPr>
        <w:footnoteReference w:id="21"/>
      </w:r>
      <w:r w:rsidRPr="00695693">
        <w:rPr>
          <w:rFonts w:ascii="Times New Roman" w:hAnsi="Times New Roman" w:cs="Times New Roman"/>
          <w:sz w:val="24"/>
          <w:szCs w:val="24"/>
        </w:rPr>
        <w:t xml:space="preserve"> appelé de tous les vœux sous de nombreux cieux</w:t>
      </w:r>
      <w:r w:rsidRPr="00695693">
        <w:rPr>
          <w:rStyle w:val="Appelnotedebasdep"/>
          <w:rFonts w:ascii="Times New Roman" w:hAnsi="Times New Roman" w:cs="Times New Roman"/>
          <w:sz w:val="24"/>
          <w:szCs w:val="24"/>
        </w:rPr>
        <w:footnoteReference w:id="22"/>
      </w:r>
      <w:r w:rsidRPr="00695693">
        <w:rPr>
          <w:rFonts w:ascii="Times New Roman" w:hAnsi="Times New Roman" w:cs="Times New Roman"/>
          <w:sz w:val="24"/>
          <w:szCs w:val="24"/>
        </w:rPr>
        <w:t xml:space="preserve">. Sa raison d’être </w:t>
      </w:r>
      <w:r w:rsidR="00741774" w:rsidRPr="00695693">
        <w:rPr>
          <w:rFonts w:ascii="Times New Roman" w:hAnsi="Times New Roman" w:cs="Times New Roman"/>
          <w:sz w:val="24"/>
          <w:szCs w:val="24"/>
        </w:rPr>
        <w:t>a permis de répondre à un triple objectif, considéré d’ailleurs comme étant les fonctions assignées à cette procédure. Il s’agit précisément d’une fonction d’unification du droit communautaire</w:t>
      </w:r>
      <w:r w:rsidR="00741774" w:rsidRPr="00695693">
        <w:rPr>
          <w:rStyle w:val="Appelnotedebasdep"/>
          <w:rFonts w:ascii="Times New Roman" w:hAnsi="Times New Roman" w:cs="Times New Roman"/>
          <w:sz w:val="24"/>
          <w:szCs w:val="24"/>
        </w:rPr>
        <w:footnoteReference w:id="23"/>
      </w:r>
      <w:r w:rsidR="00741774" w:rsidRPr="00695693">
        <w:rPr>
          <w:rFonts w:ascii="Times New Roman" w:hAnsi="Times New Roman" w:cs="Times New Roman"/>
          <w:sz w:val="24"/>
          <w:szCs w:val="24"/>
        </w:rPr>
        <w:t xml:space="preserve">, d’une fonctiond’intégration du droit de la </w:t>
      </w:r>
      <w:r w:rsidR="00741774" w:rsidRPr="00695693">
        <w:rPr>
          <w:rFonts w:ascii="Times New Roman" w:hAnsi="Times New Roman" w:cs="Times New Roman"/>
          <w:sz w:val="24"/>
          <w:szCs w:val="24"/>
        </w:rPr>
        <w:lastRenderedPageBreak/>
        <w:t>communauté dans les systèmes juridiques nationaux</w:t>
      </w:r>
      <w:r w:rsidR="00741774" w:rsidRPr="00695693">
        <w:rPr>
          <w:rStyle w:val="Appelnotedebasdep"/>
          <w:rFonts w:ascii="Times New Roman" w:hAnsi="Times New Roman" w:cs="Times New Roman"/>
          <w:sz w:val="24"/>
          <w:szCs w:val="24"/>
        </w:rPr>
        <w:footnoteReference w:id="24"/>
      </w:r>
      <w:r w:rsidR="00741774" w:rsidRPr="00695693">
        <w:rPr>
          <w:rFonts w:ascii="Times New Roman" w:hAnsi="Times New Roman" w:cs="Times New Roman"/>
          <w:sz w:val="24"/>
          <w:szCs w:val="24"/>
        </w:rPr>
        <w:t xml:space="preserve">  et d’une fonction de sauvegarde des droits des justiciables et des libertés fondamentales</w:t>
      </w:r>
      <w:r w:rsidR="00741774" w:rsidRPr="00695693">
        <w:rPr>
          <w:rStyle w:val="Appelnotedebasdep"/>
          <w:rFonts w:ascii="Times New Roman" w:hAnsi="Times New Roman" w:cs="Times New Roman"/>
          <w:sz w:val="24"/>
          <w:szCs w:val="24"/>
        </w:rPr>
        <w:footnoteReference w:id="25"/>
      </w:r>
      <w:r w:rsidR="00741774" w:rsidRPr="00695693">
        <w:rPr>
          <w:rFonts w:ascii="Times New Roman" w:hAnsi="Times New Roman" w:cs="Times New Roman"/>
          <w:sz w:val="24"/>
          <w:szCs w:val="24"/>
        </w:rPr>
        <w:t>.</w:t>
      </w:r>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S’agissant du juge CEDEAO, il s’agit précisément de la Cour de justice de la </w:t>
      </w:r>
      <w:r w:rsidR="007B322B" w:rsidRPr="00695693">
        <w:rPr>
          <w:rFonts w:ascii="Times New Roman" w:hAnsi="Times New Roman" w:cs="Times New Roman"/>
          <w:sz w:val="24"/>
          <w:szCs w:val="24"/>
        </w:rPr>
        <w:t xml:space="preserve">Communauté </w:t>
      </w:r>
      <w:r w:rsidRPr="00695693">
        <w:rPr>
          <w:rFonts w:ascii="Times New Roman" w:hAnsi="Times New Roman" w:cs="Times New Roman"/>
          <w:sz w:val="24"/>
          <w:szCs w:val="24"/>
        </w:rPr>
        <w:t>CEDEAO. Constituant l’une des innovations apportées par le Traité révisé</w:t>
      </w:r>
      <w:r w:rsidR="00F2572B" w:rsidRPr="00695693">
        <w:rPr>
          <w:rFonts w:ascii="Times New Roman" w:hAnsi="Times New Roman" w:cs="Times New Roman"/>
          <w:sz w:val="24"/>
          <w:szCs w:val="24"/>
        </w:rPr>
        <w:t xml:space="preserve"> à Cotonou le 24 j</w:t>
      </w:r>
      <w:r w:rsidR="00322A20">
        <w:rPr>
          <w:rFonts w:ascii="Times New Roman" w:hAnsi="Times New Roman" w:cs="Times New Roman"/>
          <w:sz w:val="24"/>
          <w:szCs w:val="24"/>
        </w:rPr>
        <w:t>uillet 1993</w:t>
      </w:r>
      <w:r w:rsidRPr="00695693">
        <w:rPr>
          <w:rFonts w:ascii="Times New Roman" w:hAnsi="Times New Roman" w:cs="Times New Roman"/>
          <w:sz w:val="24"/>
          <w:szCs w:val="24"/>
        </w:rPr>
        <w:t xml:space="preserve">, la Cour de justice représente l’organe judiciaire </w:t>
      </w:r>
      <w:r w:rsidR="0021137E" w:rsidRPr="00695693">
        <w:rPr>
          <w:rFonts w:ascii="Times New Roman" w:hAnsi="Times New Roman" w:cs="Times New Roman"/>
          <w:sz w:val="24"/>
          <w:szCs w:val="24"/>
        </w:rPr>
        <w:t xml:space="preserve">principal </w:t>
      </w:r>
      <w:r w:rsidRPr="00695693">
        <w:rPr>
          <w:rFonts w:ascii="Times New Roman" w:hAnsi="Times New Roman" w:cs="Times New Roman"/>
          <w:sz w:val="24"/>
          <w:szCs w:val="24"/>
        </w:rPr>
        <w:t>de la communauté. Elle constitue, conformément à l’article 6 du</w:t>
      </w:r>
      <w:r w:rsidR="00D90FF8" w:rsidRPr="00695693">
        <w:rPr>
          <w:rFonts w:ascii="Times New Roman" w:hAnsi="Times New Roman" w:cs="Times New Roman"/>
          <w:sz w:val="24"/>
          <w:szCs w:val="24"/>
        </w:rPr>
        <w:t>dit</w:t>
      </w:r>
      <w:r w:rsidRPr="00695693">
        <w:rPr>
          <w:rFonts w:ascii="Times New Roman" w:hAnsi="Times New Roman" w:cs="Times New Roman"/>
          <w:sz w:val="24"/>
          <w:szCs w:val="24"/>
        </w:rPr>
        <w:t xml:space="preserve"> Traité, une des institutions phares de la CEDEAO puisqu’elle joue un rôle important et dispose d’importantes attributions</w:t>
      </w:r>
      <w:r w:rsidR="008F77F5" w:rsidRPr="00695693">
        <w:rPr>
          <w:rStyle w:val="Appelnotedebasdep"/>
          <w:rFonts w:ascii="Times New Roman" w:hAnsi="Times New Roman" w:cs="Times New Roman"/>
          <w:sz w:val="24"/>
          <w:szCs w:val="24"/>
        </w:rPr>
        <w:footnoteReference w:id="26"/>
      </w:r>
      <w:r w:rsidRPr="00695693">
        <w:rPr>
          <w:rFonts w:ascii="Times New Roman" w:hAnsi="Times New Roman" w:cs="Times New Roman"/>
          <w:sz w:val="24"/>
          <w:szCs w:val="24"/>
        </w:rPr>
        <w:t>. Sa mission principale est de contribuer à faire de la CEDEAO un espace de liberté fondé sur la garantie de la démocratie et des droits de l’homme. C’est donc à ce titre qu’elle assure la primauté du droit et des principes d’équité dans l’interprétation et l’application des dispositions du Traité ainsi que de tous les instruments juridiques qui en découlent.</w:t>
      </w:r>
    </w:p>
    <w:p w:rsidR="00BF330C" w:rsidRDefault="007C4516" w:rsidP="00695693">
      <w:pPr>
        <w:spacing w:line="360" w:lineRule="auto"/>
        <w:jc w:val="both"/>
        <w:rPr>
          <w:rFonts w:ascii="Times New Roman" w:hAnsi="Times New Roman" w:cs="Times New Roman"/>
          <w:color w:val="FF0000"/>
          <w:sz w:val="24"/>
          <w:szCs w:val="24"/>
        </w:rPr>
      </w:pPr>
      <w:r w:rsidRPr="00695693">
        <w:rPr>
          <w:rFonts w:ascii="Times New Roman" w:hAnsi="Times New Roman" w:cs="Times New Roman"/>
          <w:sz w:val="24"/>
          <w:szCs w:val="24"/>
        </w:rPr>
        <w:t>Toutefois</w:t>
      </w:r>
      <w:r w:rsidR="00694424" w:rsidRPr="00695693">
        <w:rPr>
          <w:rFonts w:ascii="Times New Roman" w:hAnsi="Times New Roman" w:cs="Times New Roman"/>
          <w:sz w:val="24"/>
          <w:szCs w:val="24"/>
        </w:rPr>
        <w:t>, il y a lieu de garder à l’esprit que la procédure préjudicielle</w:t>
      </w:r>
      <w:r w:rsidR="00D90FF8" w:rsidRPr="00695693">
        <w:rPr>
          <w:rFonts w:ascii="Times New Roman" w:hAnsi="Times New Roman" w:cs="Times New Roman"/>
          <w:sz w:val="24"/>
          <w:szCs w:val="24"/>
        </w:rPr>
        <w:t xml:space="preserve">,telle que consacrée par le législateur CEDEAO de 2005, </w:t>
      </w:r>
      <w:r w:rsidR="00654D62">
        <w:rPr>
          <w:rFonts w:ascii="Times New Roman" w:hAnsi="Times New Roman" w:cs="Times New Roman"/>
          <w:sz w:val="24"/>
          <w:szCs w:val="24"/>
        </w:rPr>
        <w:t>n’est pas à confondre avec</w:t>
      </w:r>
      <w:r w:rsidR="003C46ED">
        <w:rPr>
          <w:rFonts w:ascii="Times New Roman" w:hAnsi="Times New Roman" w:cs="Times New Roman"/>
          <w:sz w:val="24"/>
          <w:szCs w:val="24"/>
        </w:rPr>
        <w:t>certaines</w:t>
      </w:r>
      <w:r w:rsidR="00694424" w:rsidRPr="00695693">
        <w:rPr>
          <w:rFonts w:ascii="Times New Roman" w:hAnsi="Times New Roman" w:cs="Times New Roman"/>
          <w:sz w:val="24"/>
          <w:szCs w:val="24"/>
        </w:rPr>
        <w:t>notions voisines. Ainsi, par notion</w:t>
      </w:r>
      <w:r w:rsidR="00221526">
        <w:rPr>
          <w:rFonts w:ascii="Times New Roman" w:hAnsi="Times New Roman" w:cs="Times New Roman"/>
          <w:sz w:val="24"/>
          <w:szCs w:val="24"/>
        </w:rPr>
        <w:t>s</w:t>
      </w:r>
      <w:r w:rsidR="00694424" w:rsidRPr="00695693">
        <w:rPr>
          <w:rFonts w:ascii="Times New Roman" w:hAnsi="Times New Roman" w:cs="Times New Roman"/>
          <w:sz w:val="24"/>
          <w:szCs w:val="24"/>
        </w:rPr>
        <w:t xml:space="preserve"> voisine</w:t>
      </w:r>
      <w:r w:rsidR="00221526">
        <w:rPr>
          <w:rFonts w:ascii="Times New Roman" w:hAnsi="Times New Roman" w:cs="Times New Roman"/>
          <w:sz w:val="24"/>
          <w:szCs w:val="24"/>
        </w:rPr>
        <w:t>s</w:t>
      </w:r>
      <w:r w:rsidR="00F90B9A">
        <w:rPr>
          <w:rFonts w:ascii="Times New Roman" w:hAnsi="Times New Roman" w:cs="Times New Roman"/>
          <w:sz w:val="24"/>
          <w:szCs w:val="24"/>
        </w:rPr>
        <w:t>,</w:t>
      </w:r>
      <w:r w:rsidR="00694424" w:rsidRPr="00695693">
        <w:rPr>
          <w:rFonts w:ascii="Times New Roman" w:hAnsi="Times New Roman" w:cs="Times New Roman"/>
          <w:sz w:val="24"/>
          <w:szCs w:val="24"/>
        </w:rPr>
        <w:t xml:space="preserve"> il faut entendre simplement les mécanismes internes de renvoi</w:t>
      </w:r>
      <w:r w:rsidR="00951742" w:rsidRPr="00695693">
        <w:rPr>
          <w:rFonts w:ascii="Times New Roman" w:hAnsi="Times New Roman" w:cs="Times New Roman"/>
          <w:sz w:val="24"/>
          <w:szCs w:val="24"/>
        </w:rPr>
        <w:t xml:space="preserve">, </w:t>
      </w:r>
      <w:r w:rsidR="00694424" w:rsidRPr="00695693">
        <w:rPr>
          <w:rFonts w:ascii="Times New Roman" w:hAnsi="Times New Roman" w:cs="Times New Roman"/>
          <w:sz w:val="24"/>
          <w:szCs w:val="24"/>
        </w:rPr>
        <w:t>c’est-à-dire les renvois disponibles dans les ordres juridiques étatiques. Il peut s’agir du mécanisme soit de la question prioritaire de constitutionnalité (Q.P.C.)</w:t>
      </w:r>
      <w:r w:rsidR="00694424" w:rsidRPr="00695693">
        <w:rPr>
          <w:rStyle w:val="Appelnotedebasdep"/>
          <w:rFonts w:ascii="Times New Roman" w:hAnsi="Times New Roman" w:cs="Times New Roman"/>
          <w:sz w:val="24"/>
          <w:szCs w:val="24"/>
        </w:rPr>
        <w:footnoteReference w:id="27"/>
      </w:r>
      <w:r w:rsidR="00725FA8">
        <w:rPr>
          <w:rFonts w:ascii="Times New Roman" w:hAnsi="Times New Roman" w:cs="Times New Roman"/>
          <w:sz w:val="24"/>
          <w:szCs w:val="24"/>
        </w:rPr>
        <w:t xml:space="preserve"> tel que consacré par la constitution Burkinabè de la IVème </w:t>
      </w:r>
      <w:r w:rsidR="00BD2BB3">
        <w:rPr>
          <w:rFonts w:ascii="Times New Roman" w:hAnsi="Times New Roman" w:cs="Times New Roman"/>
          <w:sz w:val="24"/>
          <w:szCs w:val="24"/>
        </w:rPr>
        <w:t>République</w:t>
      </w:r>
      <w:r w:rsidR="00725FA8">
        <w:rPr>
          <w:rFonts w:ascii="Times New Roman" w:hAnsi="Times New Roman" w:cs="Times New Roman"/>
          <w:sz w:val="24"/>
          <w:szCs w:val="24"/>
        </w:rPr>
        <w:t xml:space="preserve"> du 2 Juin 1991</w:t>
      </w:r>
      <w:r w:rsidR="00725FA8">
        <w:rPr>
          <w:rStyle w:val="Appelnotedebasdep"/>
          <w:rFonts w:ascii="Times New Roman" w:hAnsi="Times New Roman" w:cs="Times New Roman"/>
          <w:sz w:val="24"/>
          <w:szCs w:val="24"/>
        </w:rPr>
        <w:footnoteReference w:id="28"/>
      </w:r>
      <w:r w:rsidR="00D90FF8" w:rsidRPr="00695693">
        <w:rPr>
          <w:rFonts w:ascii="Times New Roman" w:hAnsi="Times New Roman" w:cs="Times New Roman"/>
          <w:sz w:val="24"/>
          <w:szCs w:val="24"/>
        </w:rPr>
        <w:t xml:space="preserve">; </w:t>
      </w:r>
      <w:r w:rsidR="00694424" w:rsidRPr="00695693">
        <w:rPr>
          <w:rFonts w:ascii="Times New Roman" w:hAnsi="Times New Roman" w:cs="Times New Roman"/>
          <w:sz w:val="24"/>
          <w:szCs w:val="24"/>
        </w:rPr>
        <w:t xml:space="preserve">soit de l’exception d’inconstitutionnalité tel que consacré </w:t>
      </w:r>
      <w:r w:rsidR="00725FA8">
        <w:rPr>
          <w:rFonts w:ascii="Times New Roman" w:hAnsi="Times New Roman" w:cs="Times New Roman"/>
          <w:sz w:val="24"/>
          <w:szCs w:val="24"/>
        </w:rPr>
        <w:t>par l’article 1</w:t>
      </w:r>
      <w:r w:rsidR="00694424" w:rsidRPr="00695693">
        <w:rPr>
          <w:rFonts w:ascii="Times New Roman" w:hAnsi="Times New Roman" w:cs="Times New Roman"/>
          <w:sz w:val="24"/>
          <w:szCs w:val="24"/>
        </w:rPr>
        <w:t>32</w:t>
      </w:r>
      <w:r w:rsidR="00694424" w:rsidRPr="00695693">
        <w:rPr>
          <w:rStyle w:val="Appelnotedebasdep"/>
          <w:rFonts w:ascii="Times New Roman" w:hAnsi="Times New Roman" w:cs="Times New Roman"/>
          <w:sz w:val="24"/>
          <w:szCs w:val="24"/>
        </w:rPr>
        <w:footnoteReference w:id="29"/>
      </w:r>
      <w:r w:rsidR="00694424" w:rsidRPr="00695693">
        <w:rPr>
          <w:rFonts w:ascii="Times New Roman" w:hAnsi="Times New Roman" w:cs="Times New Roman"/>
          <w:sz w:val="24"/>
          <w:szCs w:val="24"/>
        </w:rPr>
        <w:t>de la constitution nigérienne du 25 Novembre 2010</w:t>
      </w:r>
      <w:r w:rsidR="00D90FF8" w:rsidRPr="00695693">
        <w:rPr>
          <w:rFonts w:ascii="Times New Roman" w:hAnsi="Times New Roman" w:cs="Times New Roman"/>
          <w:sz w:val="24"/>
          <w:szCs w:val="24"/>
        </w:rPr>
        <w:t> ;</w:t>
      </w:r>
      <w:r w:rsidR="00694424" w:rsidRPr="00695693">
        <w:rPr>
          <w:rFonts w:ascii="Times New Roman" w:hAnsi="Times New Roman" w:cs="Times New Roman"/>
          <w:sz w:val="24"/>
          <w:szCs w:val="24"/>
        </w:rPr>
        <w:t xml:space="preserve"> soit encore du recours d’emparo</w:t>
      </w:r>
      <w:r w:rsidR="00694424" w:rsidRPr="00695693">
        <w:rPr>
          <w:rStyle w:val="Appelnotedebasdep"/>
          <w:rFonts w:ascii="Times New Roman" w:hAnsi="Times New Roman" w:cs="Times New Roman"/>
          <w:sz w:val="24"/>
          <w:szCs w:val="24"/>
        </w:rPr>
        <w:footnoteReference w:id="30"/>
      </w:r>
      <w:r w:rsidR="00694424" w:rsidRPr="00695693">
        <w:rPr>
          <w:rFonts w:ascii="Times New Roman" w:hAnsi="Times New Roman" w:cs="Times New Roman"/>
          <w:sz w:val="24"/>
          <w:szCs w:val="24"/>
        </w:rPr>
        <w:t xml:space="preserve"> ou individuel tel que consacré par </w:t>
      </w:r>
      <w:r w:rsidR="00694424" w:rsidRPr="00695693">
        <w:rPr>
          <w:rFonts w:ascii="Times New Roman" w:hAnsi="Times New Roman" w:cs="Times New Roman"/>
          <w:sz w:val="24"/>
          <w:szCs w:val="24"/>
        </w:rPr>
        <w:lastRenderedPageBreak/>
        <w:t>l’article 122 de la constitution Béninoise du 11 Décembre 1990</w:t>
      </w:r>
      <w:r w:rsidR="00694424" w:rsidRPr="00695693">
        <w:rPr>
          <w:rStyle w:val="Appelnotedebasdep"/>
          <w:rFonts w:ascii="Times New Roman" w:hAnsi="Times New Roman" w:cs="Times New Roman"/>
          <w:sz w:val="24"/>
          <w:szCs w:val="24"/>
        </w:rPr>
        <w:footnoteReference w:id="31"/>
      </w:r>
      <w:r w:rsidR="00694424" w:rsidRPr="00695693">
        <w:rPr>
          <w:rFonts w:ascii="Times New Roman" w:hAnsi="Times New Roman" w:cs="Times New Roman"/>
          <w:sz w:val="24"/>
          <w:szCs w:val="24"/>
        </w:rPr>
        <w:t>. A la différence du renvoi préjudiciel</w:t>
      </w:r>
      <w:r w:rsidR="0058089D" w:rsidRPr="00695693">
        <w:rPr>
          <w:rStyle w:val="Appelnotedebasdep"/>
          <w:rFonts w:ascii="Times New Roman" w:hAnsi="Times New Roman" w:cs="Times New Roman"/>
          <w:sz w:val="24"/>
          <w:szCs w:val="24"/>
        </w:rPr>
        <w:footnoteReference w:id="32"/>
      </w:r>
      <w:r w:rsidR="00694424" w:rsidRPr="00695693">
        <w:rPr>
          <w:rFonts w:ascii="Times New Roman" w:hAnsi="Times New Roman" w:cs="Times New Roman"/>
          <w:sz w:val="24"/>
          <w:szCs w:val="24"/>
        </w:rPr>
        <w:t>, ces mécanismes internes de renvoi</w:t>
      </w:r>
      <w:r w:rsidR="00251D67" w:rsidRPr="00695693">
        <w:rPr>
          <w:rFonts w:ascii="Times New Roman" w:hAnsi="Times New Roman" w:cs="Times New Roman"/>
          <w:sz w:val="24"/>
          <w:szCs w:val="24"/>
        </w:rPr>
        <w:t>, alors même qu’ils ne rentrent pas dans le cadre de la présente étude,</w:t>
      </w:r>
      <w:r w:rsidR="00694424" w:rsidRPr="00695693">
        <w:rPr>
          <w:rFonts w:ascii="Times New Roman" w:hAnsi="Times New Roman" w:cs="Times New Roman"/>
          <w:sz w:val="24"/>
          <w:szCs w:val="24"/>
        </w:rPr>
        <w:t xml:space="preserve"> ont été institués dans le </w:t>
      </w:r>
      <w:r w:rsidR="00D61E02">
        <w:rPr>
          <w:rFonts w:ascii="Times New Roman" w:hAnsi="Times New Roman" w:cs="Times New Roman"/>
          <w:sz w:val="24"/>
          <w:szCs w:val="24"/>
        </w:rPr>
        <w:t xml:space="preserve">seul </w:t>
      </w:r>
      <w:r w:rsidR="00694424" w:rsidRPr="00695693">
        <w:rPr>
          <w:rFonts w:ascii="Times New Roman" w:hAnsi="Times New Roman" w:cs="Times New Roman"/>
          <w:sz w:val="24"/>
          <w:szCs w:val="24"/>
        </w:rPr>
        <w:t>but de vérifier la conformité d’une norme du droit interne à la con</w:t>
      </w:r>
      <w:r w:rsidR="0097638F" w:rsidRPr="00695693">
        <w:rPr>
          <w:rFonts w:ascii="Times New Roman" w:hAnsi="Times New Roman" w:cs="Times New Roman"/>
          <w:sz w:val="24"/>
          <w:szCs w:val="24"/>
        </w:rPr>
        <w:t xml:space="preserve">stitution. </w:t>
      </w:r>
      <w:r w:rsidR="00694424" w:rsidRPr="00695693">
        <w:rPr>
          <w:rFonts w:ascii="Times New Roman" w:hAnsi="Times New Roman" w:cs="Times New Roman"/>
          <w:sz w:val="24"/>
          <w:szCs w:val="24"/>
        </w:rPr>
        <w:t>Celle-ci est entendue comme la norme suprême de l’ordre étatique</w:t>
      </w:r>
      <w:r w:rsidR="00694424" w:rsidRPr="00695693">
        <w:rPr>
          <w:rStyle w:val="Appelnotedebasdep"/>
          <w:rFonts w:ascii="Times New Roman" w:hAnsi="Times New Roman" w:cs="Times New Roman"/>
          <w:sz w:val="24"/>
          <w:szCs w:val="24"/>
        </w:rPr>
        <w:footnoteReference w:id="33"/>
      </w:r>
      <w:r w:rsidR="00694424" w:rsidRPr="00695693">
        <w:rPr>
          <w:rFonts w:ascii="Times New Roman" w:hAnsi="Times New Roman" w:cs="Times New Roman"/>
          <w:sz w:val="24"/>
          <w:szCs w:val="24"/>
        </w:rPr>
        <w:t>.</w:t>
      </w:r>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Au vue de toutes ces considérations générales, </w:t>
      </w:r>
      <w:r w:rsidR="00FD2108" w:rsidRPr="00695693">
        <w:rPr>
          <w:rFonts w:ascii="Times New Roman" w:hAnsi="Times New Roman" w:cs="Times New Roman"/>
          <w:sz w:val="24"/>
          <w:szCs w:val="24"/>
        </w:rPr>
        <w:t xml:space="preserve">l’intérêt </w:t>
      </w:r>
      <w:r w:rsidR="00831CBC" w:rsidRPr="00695693">
        <w:rPr>
          <w:rFonts w:ascii="Times New Roman" w:hAnsi="Times New Roman" w:cs="Times New Roman"/>
          <w:sz w:val="24"/>
          <w:szCs w:val="24"/>
        </w:rPr>
        <w:t xml:space="preserve"> de ce type de recours, excl</w:t>
      </w:r>
      <w:r w:rsidR="007A05F4" w:rsidRPr="00695693">
        <w:rPr>
          <w:rFonts w:ascii="Times New Roman" w:hAnsi="Times New Roman" w:cs="Times New Roman"/>
          <w:sz w:val="24"/>
          <w:szCs w:val="24"/>
        </w:rPr>
        <w:t>usivement réservé à la Cour de j</w:t>
      </w:r>
      <w:r w:rsidR="00831CBC" w:rsidRPr="00695693">
        <w:rPr>
          <w:rFonts w:ascii="Times New Roman" w:hAnsi="Times New Roman" w:cs="Times New Roman"/>
          <w:sz w:val="24"/>
          <w:szCs w:val="24"/>
        </w:rPr>
        <w:t>ustice de la Communauté,</w:t>
      </w:r>
      <w:r w:rsidR="00427B46" w:rsidRPr="00695693">
        <w:rPr>
          <w:rFonts w:ascii="Times New Roman" w:hAnsi="Times New Roman" w:cs="Times New Roman"/>
          <w:sz w:val="24"/>
          <w:szCs w:val="24"/>
        </w:rPr>
        <w:t xml:space="preserve"> appelée à concentrerso</w:t>
      </w:r>
      <w:r w:rsidR="00831CBC" w:rsidRPr="00695693">
        <w:rPr>
          <w:rFonts w:ascii="Times New Roman" w:hAnsi="Times New Roman" w:cs="Times New Roman"/>
          <w:sz w:val="24"/>
          <w:szCs w:val="24"/>
        </w:rPr>
        <w:t>n</w:t>
      </w:r>
      <w:r w:rsidR="00427B46" w:rsidRPr="00695693">
        <w:rPr>
          <w:rFonts w:ascii="Times New Roman" w:hAnsi="Times New Roman" w:cs="Times New Roman"/>
          <w:sz w:val="24"/>
          <w:szCs w:val="24"/>
        </w:rPr>
        <w:t xml:space="preserve"> activité sur </w:t>
      </w:r>
      <w:r w:rsidR="00160776" w:rsidRPr="00695693">
        <w:rPr>
          <w:rFonts w:ascii="Times New Roman" w:hAnsi="Times New Roman" w:cs="Times New Roman"/>
          <w:sz w:val="24"/>
          <w:szCs w:val="24"/>
        </w:rPr>
        <w:t>l’</w:t>
      </w:r>
      <w:r w:rsidR="00427B46" w:rsidRPr="00695693">
        <w:rPr>
          <w:rFonts w:ascii="Times New Roman" w:hAnsi="Times New Roman" w:cs="Times New Roman"/>
          <w:sz w:val="24"/>
          <w:szCs w:val="24"/>
        </w:rPr>
        <w:t>interprétation uniforme du droit communautaire, n</w:t>
      </w:r>
      <w:r w:rsidR="00831CBC" w:rsidRPr="00695693">
        <w:rPr>
          <w:rFonts w:ascii="Times New Roman" w:hAnsi="Times New Roman" w:cs="Times New Roman"/>
          <w:sz w:val="24"/>
          <w:szCs w:val="24"/>
        </w:rPr>
        <w:t>’est plus à démontrer</w:t>
      </w:r>
      <w:r w:rsidRPr="00695693">
        <w:rPr>
          <w:rFonts w:ascii="Times New Roman" w:hAnsi="Times New Roman" w:cs="Times New Roman"/>
          <w:sz w:val="24"/>
          <w:szCs w:val="24"/>
        </w:rPr>
        <w:t>.</w:t>
      </w:r>
    </w:p>
    <w:p w:rsidR="00945DBE" w:rsidRDefault="00DE3310"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Du point de vue actuel, l’étude du sujet </w:t>
      </w:r>
      <w:r w:rsidR="00DA6F5C">
        <w:rPr>
          <w:rFonts w:ascii="Times New Roman" w:hAnsi="Times New Roman" w:cs="Times New Roman"/>
          <w:sz w:val="24"/>
          <w:szCs w:val="24"/>
        </w:rPr>
        <w:t xml:space="preserve">se justifie par le fait que ce type de recours </w:t>
      </w:r>
      <w:r w:rsidRPr="00695693">
        <w:rPr>
          <w:rFonts w:ascii="Times New Roman" w:hAnsi="Times New Roman" w:cs="Times New Roman"/>
          <w:sz w:val="24"/>
          <w:szCs w:val="24"/>
        </w:rPr>
        <w:t xml:space="preserve">devant le juge CEDEAO figure </w:t>
      </w:r>
      <w:r w:rsidR="00DA6F5C">
        <w:rPr>
          <w:rFonts w:ascii="Times New Roman" w:hAnsi="Times New Roman" w:cs="Times New Roman"/>
          <w:sz w:val="24"/>
          <w:szCs w:val="24"/>
        </w:rPr>
        <w:t xml:space="preserve">au cœur de la réforme législative intervenue, à Accra le 19 janvier 2005, à l’occasion de l’adoption du protocole relatif à la Cour. A l’issue de cette réforme, </w:t>
      </w:r>
      <w:r w:rsidR="00F03CC1">
        <w:rPr>
          <w:rFonts w:ascii="Times New Roman" w:hAnsi="Times New Roman" w:cs="Times New Roman"/>
          <w:sz w:val="24"/>
          <w:szCs w:val="24"/>
        </w:rPr>
        <w:t>ce mécanisme a été consacré et avait pour</w:t>
      </w:r>
      <w:r w:rsidR="00DA6F5C">
        <w:rPr>
          <w:rFonts w:ascii="Times New Roman" w:hAnsi="Times New Roman" w:cs="Times New Roman"/>
          <w:sz w:val="24"/>
          <w:szCs w:val="24"/>
        </w:rPr>
        <w:t xml:space="preserve"> but d’instaurer une collaboration entre la Cour de justice et les juridictions nationales en vue de garantir la protection des droits de l’homme par ces dernières. </w:t>
      </w:r>
    </w:p>
    <w:p w:rsidR="00945DBE" w:rsidRDefault="00694424" w:rsidP="00695693">
      <w:pPr>
        <w:spacing w:line="360" w:lineRule="auto"/>
        <w:jc w:val="both"/>
        <w:rPr>
          <w:rFonts w:ascii="Times New Roman" w:hAnsi="Times New Roman" w:cs="Times New Roman"/>
          <w:color w:val="FF0000"/>
          <w:sz w:val="24"/>
          <w:szCs w:val="24"/>
        </w:rPr>
      </w:pPr>
      <w:r w:rsidRPr="00695693">
        <w:rPr>
          <w:rFonts w:ascii="Times New Roman" w:hAnsi="Times New Roman" w:cs="Times New Roman"/>
          <w:sz w:val="24"/>
          <w:szCs w:val="24"/>
        </w:rPr>
        <w:t xml:space="preserve">Du point de vue de la science, </w:t>
      </w:r>
      <w:r w:rsidR="00945DBE">
        <w:rPr>
          <w:rFonts w:ascii="Times New Roman" w:hAnsi="Times New Roman" w:cs="Times New Roman"/>
          <w:sz w:val="24"/>
          <w:szCs w:val="24"/>
        </w:rPr>
        <w:t>l’étude du mécanisme de renvoi préjudiciel rend compte de son objectif primordial</w:t>
      </w:r>
      <w:r w:rsidR="006D417C">
        <w:rPr>
          <w:rFonts w:ascii="Times New Roman" w:hAnsi="Times New Roman" w:cs="Times New Roman"/>
          <w:sz w:val="24"/>
          <w:szCs w:val="24"/>
        </w:rPr>
        <w:t xml:space="preserve"> dans l’ordre juridique communautaire</w:t>
      </w:r>
      <w:r w:rsidR="00945DBE">
        <w:rPr>
          <w:rFonts w:ascii="Times New Roman" w:hAnsi="Times New Roman" w:cs="Times New Roman"/>
          <w:sz w:val="24"/>
          <w:szCs w:val="24"/>
        </w:rPr>
        <w:t>. I</w:t>
      </w:r>
      <w:r w:rsidRPr="00695693">
        <w:rPr>
          <w:rFonts w:ascii="Times New Roman" w:hAnsi="Times New Roman" w:cs="Times New Roman"/>
          <w:sz w:val="24"/>
          <w:szCs w:val="24"/>
        </w:rPr>
        <w:t>l s’agit d’assurer l’unicité de l’ordre juridique communautaire au moyen de l’interprétation ou de l’appréciation de la validité d’une norme issue du droit CEDEAO. En d’autres termes, il s’agit</w:t>
      </w:r>
      <w:r w:rsidR="00757646">
        <w:rPr>
          <w:rFonts w:ascii="Times New Roman" w:hAnsi="Times New Roman" w:cs="Times New Roman"/>
          <w:sz w:val="24"/>
          <w:szCs w:val="24"/>
        </w:rPr>
        <w:t>,</w:t>
      </w:r>
      <w:r w:rsidRPr="00695693">
        <w:rPr>
          <w:rFonts w:ascii="Times New Roman" w:hAnsi="Times New Roman" w:cs="Times New Roman"/>
          <w:sz w:val="24"/>
          <w:szCs w:val="24"/>
        </w:rPr>
        <w:t xml:space="preserve"> d’une part</w:t>
      </w:r>
      <w:r w:rsidR="00757646">
        <w:rPr>
          <w:rFonts w:ascii="Times New Roman" w:hAnsi="Times New Roman" w:cs="Times New Roman"/>
          <w:sz w:val="24"/>
          <w:szCs w:val="24"/>
        </w:rPr>
        <w:t>,</w:t>
      </w:r>
      <w:r w:rsidRPr="00695693">
        <w:rPr>
          <w:rFonts w:ascii="Times New Roman" w:hAnsi="Times New Roman" w:cs="Times New Roman"/>
          <w:sz w:val="24"/>
          <w:szCs w:val="24"/>
        </w:rPr>
        <w:t xml:space="preserve"> d’éviter les contradictions de jugement et</w:t>
      </w:r>
      <w:r w:rsidR="00757646">
        <w:rPr>
          <w:rFonts w:ascii="Times New Roman" w:hAnsi="Times New Roman" w:cs="Times New Roman"/>
          <w:sz w:val="24"/>
          <w:szCs w:val="24"/>
        </w:rPr>
        <w:t>,</w:t>
      </w:r>
      <w:r w:rsidRPr="00695693">
        <w:rPr>
          <w:rFonts w:ascii="Times New Roman" w:hAnsi="Times New Roman" w:cs="Times New Roman"/>
          <w:sz w:val="24"/>
          <w:szCs w:val="24"/>
        </w:rPr>
        <w:t xml:space="preserve"> d’autre part</w:t>
      </w:r>
      <w:r w:rsidR="00757646">
        <w:rPr>
          <w:rFonts w:ascii="Times New Roman" w:hAnsi="Times New Roman" w:cs="Times New Roman"/>
          <w:sz w:val="24"/>
          <w:szCs w:val="24"/>
        </w:rPr>
        <w:t>,</w:t>
      </w:r>
      <w:r w:rsidRPr="00695693">
        <w:rPr>
          <w:rFonts w:ascii="Times New Roman" w:hAnsi="Times New Roman" w:cs="Times New Roman"/>
          <w:sz w:val="24"/>
          <w:szCs w:val="24"/>
        </w:rPr>
        <w:t xml:space="preserve"> d’assurer une application cohérente, une interprétation uniforme du droit communautaire en général et particulièrement celui de la CEDEAO </w:t>
      </w:r>
      <w:r w:rsidR="00E567EC">
        <w:rPr>
          <w:rFonts w:ascii="Times New Roman" w:hAnsi="Times New Roman" w:cs="Times New Roman"/>
          <w:sz w:val="24"/>
          <w:szCs w:val="24"/>
        </w:rPr>
        <w:t>afin de préserver son intégrité</w:t>
      </w:r>
      <w:r w:rsidRPr="00695693">
        <w:rPr>
          <w:rStyle w:val="Appelnotedebasdep"/>
          <w:rFonts w:ascii="Times New Roman" w:hAnsi="Times New Roman" w:cs="Times New Roman"/>
          <w:sz w:val="24"/>
          <w:szCs w:val="24"/>
        </w:rPr>
        <w:footnoteReference w:id="34"/>
      </w:r>
      <w:r w:rsidRPr="00695693">
        <w:rPr>
          <w:rFonts w:ascii="Times New Roman" w:hAnsi="Times New Roman" w:cs="Times New Roman"/>
          <w:sz w:val="24"/>
          <w:szCs w:val="24"/>
        </w:rPr>
        <w:t>.</w:t>
      </w:r>
      <w:r w:rsidR="003F1471">
        <w:rPr>
          <w:rFonts w:ascii="Times New Roman" w:hAnsi="Times New Roman" w:cs="Times New Roman"/>
          <w:sz w:val="24"/>
          <w:szCs w:val="24"/>
        </w:rPr>
        <w:t xml:space="preserve"> C’est en cela que le p</w:t>
      </w:r>
      <w:r w:rsidR="00187E74">
        <w:rPr>
          <w:rFonts w:ascii="Times New Roman" w:hAnsi="Times New Roman" w:cs="Times New Roman"/>
          <w:sz w:val="24"/>
          <w:szCs w:val="24"/>
        </w:rPr>
        <w:t>arlement européen disait que</w:t>
      </w:r>
      <w:r w:rsidR="003F1471" w:rsidRPr="00187E74">
        <w:rPr>
          <w:rFonts w:ascii="Times New Roman" w:hAnsi="Times New Roman" w:cs="Times New Roman"/>
          <w:sz w:val="24"/>
          <w:szCs w:val="24"/>
        </w:rPr>
        <w:t>la procédure préjudicielle est une garantie essentielle de la cohérence de l’ordre juridique communautaire et de l’application uniforme du droit communautaire</w:t>
      </w:r>
      <w:r w:rsidR="003F1471" w:rsidRPr="00187E74">
        <w:rPr>
          <w:rStyle w:val="Appelnotedebasdep"/>
          <w:rFonts w:ascii="Times New Roman" w:hAnsi="Times New Roman" w:cs="Times New Roman"/>
          <w:sz w:val="24"/>
          <w:szCs w:val="24"/>
        </w:rPr>
        <w:footnoteReference w:id="35"/>
      </w:r>
      <w:r w:rsidR="00C41E82" w:rsidRPr="00187E74">
        <w:rPr>
          <w:rFonts w:ascii="Times New Roman" w:hAnsi="Times New Roman" w:cs="Times New Roman"/>
          <w:sz w:val="24"/>
          <w:szCs w:val="24"/>
        </w:rPr>
        <w:t>.</w:t>
      </w:r>
    </w:p>
    <w:p w:rsidR="00652B41" w:rsidRPr="00C1314B" w:rsidRDefault="00694424" w:rsidP="00695693">
      <w:pPr>
        <w:spacing w:line="360" w:lineRule="auto"/>
        <w:jc w:val="both"/>
        <w:rPr>
          <w:rFonts w:ascii="Times New Roman" w:hAnsi="Times New Roman" w:cs="Times New Roman"/>
          <w:color w:val="FF0000"/>
          <w:sz w:val="24"/>
          <w:szCs w:val="24"/>
        </w:rPr>
      </w:pPr>
      <w:r w:rsidRPr="00695693">
        <w:rPr>
          <w:rFonts w:ascii="Times New Roman" w:hAnsi="Times New Roman" w:cs="Times New Roman"/>
          <w:sz w:val="24"/>
          <w:szCs w:val="24"/>
        </w:rPr>
        <w:lastRenderedPageBreak/>
        <w:t xml:space="preserve">Du point </w:t>
      </w:r>
      <w:r w:rsidR="00D23AC1">
        <w:rPr>
          <w:rFonts w:ascii="Times New Roman" w:hAnsi="Times New Roman" w:cs="Times New Roman"/>
          <w:sz w:val="24"/>
          <w:szCs w:val="24"/>
        </w:rPr>
        <w:t>de vue pratique, le mécanisme du</w:t>
      </w:r>
      <w:r w:rsidRPr="00695693">
        <w:rPr>
          <w:rFonts w:ascii="Times New Roman" w:hAnsi="Times New Roman" w:cs="Times New Roman"/>
          <w:sz w:val="24"/>
          <w:szCs w:val="24"/>
        </w:rPr>
        <w:t xml:space="preserve"> renvoi préjudiciel permet d’assurer une protection juridictionnelle effective des </w:t>
      </w:r>
      <w:r w:rsidR="00876B98">
        <w:rPr>
          <w:rFonts w:ascii="Times New Roman" w:hAnsi="Times New Roman" w:cs="Times New Roman"/>
          <w:sz w:val="24"/>
          <w:szCs w:val="24"/>
        </w:rPr>
        <w:t xml:space="preserve">droits que le droit communautaire confère aux </w:t>
      </w:r>
      <w:r w:rsidRPr="00695693">
        <w:rPr>
          <w:rFonts w:ascii="Times New Roman" w:hAnsi="Times New Roman" w:cs="Times New Roman"/>
          <w:sz w:val="24"/>
          <w:szCs w:val="24"/>
        </w:rPr>
        <w:t>individus</w:t>
      </w:r>
      <w:r w:rsidR="00347056">
        <w:rPr>
          <w:rStyle w:val="Appelnotedebasdep"/>
          <w:rFonts w:ascii="Times New Roman" w:hAnsi="Times New Roman" w:cs="Times New Roman"/>
          <w:sz w:val="24"/>
          <w:szCs w:val="24"/>
        </w:rPr>
        <w:footnoteReference w:id="36"/>
      </w:r>
      <w:r w:rsidRPr="00695693">
        <w:rPr>
          <w:rFonts w:ascii="Times New Roman" w:hAnsi="Times New Roman" w:cs="Times New Roman"/>
          <w:sz w:val="24"/>
          <w:szCs w:val="24"/>
        </w:rPr>
        <w:t xml:space="preserve">. </w:t>
      </w:r>
    </w:p>
    <w:p w:rsidR="00CC3B04" w:rsidRPr="00D50E90" w:rsidRDefault="00652B41" w:rsidP="00695693">
      <w:pPr>
        <w:spacing w:line="360" w:lineRule="auto"/>
        <w:jc w:val="both"/>
        <w:rPr>
          <w:rFonts w:ascii="Times New Roman" w:hAnsi="Times New Roman" w:cs="Times New Roman"/>
          <w:color w:val="FF0000"/>
          <w:sz w:val="24"/>
          <w:szCs w:val="24"/>
        </w:rPr>
      </w:pPr>
      <w:r w:rsidRPr="00A14006">
        <w:rPr>
          <w:rFonts w:ascii="Times New Roman" w:hAnsi="Times New Roman" w:cs="Times New Roman"/>
          <w:sz w:val="24"/>
          <w:szCs w:val="24"/>
        </w:rPr>
        <w:t xml:space="preserve">Le thème tel qu’il est proposé ne doit pas </w:t>
      </w:r>
      <w:r w:rsidR="00015ED4" w:rsidRPr="00A14006">
        <w:rPr>
          <w:rFonts w:ascii="Times New Roman" w:hAnsi="Times New Roman" w:cs="Times New Roman"/>
          <w:sz w:val="24"/>
          <w:szCs w:val="24"/>
        </w:rPr>
        <w:t xml:space="preserve">se limiter </w:t>
      </w:r>
      <w:r w:rsidRPr="00A14006">
        <w:rPr>
          <w:rFonts w:ascii="Times New Roman" w:hAnsi="Times New Roman" w:cs="Times New Roman"/>
          <w:sz w:val="24"/>
          <w:szCs w:val="24"/>
        </w:rPr>
        <w:t>au seul juge CEDEAO. Il doit plutôt s’inscrire dans une logique de comparaison</w:t>
      </w:r>
      <w:r w:rsidR="009A68FE" w:rsidRPr="00A14006">
        <w:rPr>
          <w:rFonts w:ascii="Times New Roman" w:hAnsi="Times New Roman" w:cs="Times New Roman"/>
          <w:sz w:val="24"/>
          <w:szCs w:val="24"/>
        </w:rPr>
        <w:t xml:space="preserve">,notamment </w:t>
      </w:r>
      <w:r w:rsidRPr="00A14006">
        <w:rPr>
          <w:rFonts w:ascii="Times New Roman" w:hAnsi="Times New Roman" w:cs="Times New Roman"/>
          <w:sz w:val="24"/>
          <w:szCs w:val="24"/>
        </w:rPr>
        <w:t xml:space="preserve">en faisant cas </w:t>
      </w:r>
      <w:r w:rsidR="0084193E">
        <w:rPr>
          <w:rFonts w:ascii="Times New Roman" w:hAnsi="Times New Roman" w:cs="Times New Roman"/>
          <w:sz w:val="24"/>
          <w:szCs w:val="24"/>
        </w:rPr>
        <w:t>du renvoi devant l</w:t>
      </w:r>
      <w:r w:rsidRPr="00A14006">
        <w:rPr>
          <w:rFonts w:ascii="Times New Roman" w:hAnsi="Times New Roman" w:cs="Times New Roman"/>
          <w:sz w:val="24"/>
          <w:szCs w:val="24"/>
        </w:rPr>
        <w:t xml:space="preserve">es autres juridictions </w:t>
      </w:r>
      <w:r w:rsidR="009A68FE" w:rsidRPr="00A14006">
        <w:rPr>
          <w:rFonts w:ascii="Times New Roman" w:hAnsi="Times New Roman" w:cs="Times New Roman"/>
          <w:sz w:val="24"/>
          <w:szCs w:val="24"/>
        </w:rPr>
        <w:t>Communautaires</w:t>
      </w:r>
      <w:r w:rsidRPr="00A14006">
        <w:rPr>
          <w:rFonts w:ascii="Times New Roman" w:hAnsi="Times New Roman" w:cs="Times New Roman"/>
          <w:sz w:val="24"/>
          <w:szCs w:val="24"/>
        </w:rPr>
        <w:t xml:space="preserve"> africaines (Cour de justice de l’UEMOA, CEMAC, etc.) et </w:t>
      </w:r>
      <w:r w:rsidR="009A68FE" w:rsidRPr="00A14006">
        <w:rPr>
          <w:rFonts w:ascii="Times New Roman" w:hAnsi="Times New Roman" w:cs="Times New Roman"/>
          <w:sz w:val="24"/>
          <w:szCs w:val="24"/>
        </w:rPr>
        <w:t xml:space="preserve">même </w:t>
      </w:r>
      <w:r w:rsidRPr="00A14006">
        <w:rPr>
          <w:rFonts w:ascii="Times New Roman" w:hAnsi="Times New Roman" w:cs="Times New Roman"/>
          <w:sz w:val="24"/>
          <w:szCs w:val="24"/>
        </w:rPr>
        <w:t>extra-africaines (à travers la Cour de justice de l’Union européenne) instituées par les différentes organisations d’intégrations régionales</w:t>
      </w:r>
      <w:r w:rsidR="008C1170" w:rsidRPr="00A14006">
        <w:rPr>
          <w:rStyle w:val="Appelnotedebasdep"/>
          <w:rFonts w:ascii="Times New Roman" w:hAnsi="Times New Roman" w:cs="Times New Roman"/>
          <w:sz w:val="24"/>
          <w:szCs w:val="24"/>
        </w:rPr>
        <w:footnoteReference w:id="37"/>
      </w:r>
      <w:r w:rsidRPr="00A14006">
        <w:rPr>
          <w:rFonts w:ascii="Times New Roman" w:hAnsi="Times New Roman" w:cs="Times New Roman"/>
          <w:sz w:val="24"/>
          <w:szCs w:val="24"/>
        </w:rPr>
        <w:t>.</w:t>
      </w:r>
      <w:r w:rsidR="00FE4A86" w:rsidRPr="00695693">
        <w:rPr>
          <w:rFonts w:ascii="Times New Roman" w:hAnsi="Times New Roman" w:cs="Times New Roman"/>
          <w:sz w:val="24"/>
          <w:szCs w:val="24"/>
        </w:rPr>
        <w:t xml:space="preserve">Cependant, s’il est très facile de faire l’éloge du mécanisme de renvoi préjudiciel dans l’espace CEDEAO, </w:t>
      </w:r>
      <w:r w:rsidR="00FE4A86" w:rsidRPr="005559A1">
        <w:rPr>
          <w:rFonts w:ascii="Times New Roman" w:hAnsi="Times New Roman" w:cs="Times New Roman"/>
          <w:sz w:val="24"/>
          <w:szCs w:val="24"/>
        </w:rPr>
        <w:t xml:space="preserve">il faut </w:t>
      </w:r>
      <w:r w:rsidR="00D33F28" w:rsidRPr="005559A1">
        <w:rPr>
          <w:rFonts w:ascii="Times New Roman" w:hAnsi="Times New Roman" w:cs="Times New Roman"/>
          <w:sz w:val="24"/>
          <w:szCs w:val="24"/>
        </w:rPr>
        <w:t xml:space="preserve">aussi </w:t>
      </w:r>
      <w:r w:rsidR="00FE4A86" w:rsidRPr="005559A1">
        <w:rPr>
          <w:rFonts w:ascii="Times New Roman" w:hAnsi="Times New Roman" w:cs="Times New Roman"/>
          <w:sz w:val="24"/>
          <w:szCs w:val="24"/>
        </w:rPr>
        <w:t>dire que ce thème par sa nouveauté est l’un des plus problématiques</w:t>
      </w:r>
      <w:r w:rsidR="00FE4A86" w:rsidRPr="00695693">
        <w:rPr>
          <w:rFonts w:ascii="Times New Roman" w:hAnsi="Times New Roman" w:cs="Times New Roman"/>
          <w:sz w:val="24"/>
          <w:szCs w:val="24"/>
        </w:rPr>
        <w:t xml:space="preserve">. </w:t>
      </w:r>
      <w:r w:rsidR="00A14006">
        <w:rPr>
          <w:rFonts w:ascii="Times New Roman" w:hAnsi="Times New Roman" w:cs="Times New Roman"/>
          <w:sz w:val="24"/>
          <w:szCs w:val="24"/>
        </w:rPr>
        <w:t xml:space="preserve">D’où la nécessite de </w:t>
      </w:r>
      <w:r w:rsidR="0068793C" w:rsidRPr="00695693">
        <w:rPr>
          <w:rFonts w:ascii="Times New Roman" w:hAnsi="Times New Roman" w:cs="Times New Roman"/>
          <w:sz w:val="24"/>
          <w:szCs w:val="24"/>
        </w:rPr>
        <w:t>poser les</w:t>
      </w:r>
      <w:r w:rsidR="00FE4A86" w:rsidRPr="00695693">
        <w:rPr>
          <w:rFonts w:ascii="Times New Roman" w:hAnsi="Times New Roman" w:cs="Times New Roman"/>
          <w:sz w:val="24"/>
          <w:szCs w:val="24"/>
        </w:rPr>
        <w:t xml:space="preserve"> question</w:t>
      </w:r>
      <w:r w:rsidR="0068793C" w:rsidRPr="00695693">
        <w:rPr>
          <w:rFonts w:ascii="Times New Roman" w:hAnsi="Times New Roman" w:cs="Times New Roman"/>
          <w:sz w:val="24"/>
          <w:szCs w:val="24"/>
        </w:rPr>
        <w:t>s</w:t>
      </w:r>
      <w:r w:rsidR="00FE4A86" w:rsidRPr="00695693">
        <w:rPr>
          <w:rFonts w:ascii="Times New Roman" w:hAnsi="Times New Roman" w:cs="Times New Roman"/>
          <w:sz w:val="24"/>
          <w:szCs w:val="24"/>
        </w:rPr>
        <w:t xml:space="preserve"> suivante</w:t>
      </w:r>
      <w:r w:rsidR="0068793C" w:rsidRPr="00695693">
        <w:rPr>
          <w:rFonts w:ascii="Times New Roman" w:hAnsi="Times New Roman" w:cs="Times New Roman"/>
          <w:sz w:val="24"/>
          <w:szCs w:val="24"/>
        </w:rPr>
        <w:t>s</w:t>
      </w:r>
      <w:r w:rsidR="00FE4A86" w:rsidRPr="00695693">
        <w:rPr>
          <w:rFonts w:ascii="Times New Roman" w:hAnsi="Times New Roman" w:cs="Times New Roman"/>
          <w:sz w:val="24"/>
          <w:szCs w:val="24"/>
        </w:rPr>
        <w:t> :</w:t>
      </w:r>
      <w:r w:rsidR="001B2FC5" w:rsidRPr="001B2FC5">
        <w:rPr>
          <w:rFonts w:ascii="Times New Roman" w:hAnsi="Times New Roman" w:cs="Times New Roman"/>
          <w:sz w:val="24"/>
          <w:szCs w:val="24"/>
        </w:rPr>
        <w:t>Le mécanisme du renvoi préjudiciel devant le juge CEDEAO est-il toujours effectif ? Comme</w:t>
      </w:r>
      <w:r w:rsidR="00CC3B04">
        <w:rPr>
          <w:rFonts w:ascii="Times New Roman" w:hAnsi="Times New Roman" w:cs="Times New Roman"/>
          <w:sz w:val="24"/>
          <w:szCs w:val="24"/>
        </w:rPr>
        <w:t>nt est-il juridiquement encadré ?</w:t>
      </w:r>
      <w:r w:rsidR="005D1FA9" w:rsidRPr="000A5C72">
        <w:rPr>
          <w:rFonts w:ascii="Times New Roman" w:hAnsi="Times New Roman" w:cs="Times New Roman"/>
          <w:sz w:val="24"/>
          <w:szCs w:val="24"/>
        </w:rPr>
        <w:t>Cette voie de droit est-elle au rendez-vous de son objectif primordial dans l’espace CEDEAO</w:t>
      </w:r>
      <w:r w:rsidR="005D1FA9" w:rsidRPr="005D1FA9">
        <w:rPr>
          <w:rFonts w:ascii="Times New Roman" w:hAnsi="Times New Roman" w:cs="Times New Roman"/>
          <w:sz w:val="24"/>
          <w:szCs w:val="24"/>
        </w:rPr>
        <w:t xml:space="preserve"> ? </w:t>
      </w:r>
    </w:p>
    <w:p w:rsidR="0062185B" w:rsidRPr="00E70C47" w:rsidRDefault="00160776" w:rsidP="00E70C47">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Il peut </w:t>
      </w:r>
      <w:r w:rsidR="0027285C" w:rsidRPr="00695693">
        <w:rPr>
          <w:rFonts w:ascii="Times New Roman" w:hAnsi="Times New Roman" w:cs="Times New Roman"/>
          <w:sz w:val="24"/>
          <w:szCs w:val="24"/>
        </w:rPr>
        <w:t>être</w:t>
      </w:r>
      <w:r w:rsidRPr="00695693">
        <w:rPr>
          <w:rFonts w:ascii="Times New Roman" w:hAnsi="Times New Roman" w:cs="Times New Roman"/>
          <w:sz w:val="24"/>
          <w:szCs w:val="24"/>
        </w:rPr>
        <w:t xml:space="preserve"> préférable de traiter ce thème </w:t>
      </w:r>
      <w:r w:rsidR="00F63F06">
        <w:rPr>
          <w:rFonts w:ascii="Times New Roman" w:hAnsi="Times New Roman" w:cs="Times New Roman"/>
          <w:sz w:val="24"/>
          <w:szCs w:val="24"/>
        </w:rPr>
        <w:t xml:space="preserve">de cette manière </w:t>
      </w:r>
      <w:r w:rsidRPr="00695693">
        <w:rPr>
          <w:rFonts w:ascii="Times New Roman" w:hAnsi="Times New Roman" w:cs="Times New Roman"/>
          <w:sz w:val="24"/>
          <w:szCs w:val="24"/>
        </w:rPr>
        <w:t>parce qu’</w:t>
      </w:r>
      <w:r w:rsidR="0027285C" w:rsidRPr="00695693">
        <w:rPr>
          <w:rFonts w:ascii="Times New Roman" w:hAnsi="Times New Roman" w:cs="Times New Roman"/>
          <w:sz w:val="24"/>
          <w:szCs w:val="24"/>
        </w:rPr>
        <w:t>il peut s’avé</w:t>
      </w:r>
      <w:r w:rsidRPr="00695693">
        <w:rPr>
          <w:rFonts w:ascii="Times New Roman" w:hAnsi="Times New Roman" w:cs="Times New Roman"/>
          <w:sz w:val="24"/>
          <w:szCs w:val="24"/>
        </w:rPr>
        <w:t>rer que la</w:t>
      </w:r>
      <w:r w:rsidR="0027285C" w:rsidRPr="00695693">
        <w:rPr>
          <w:rFonts w:ascii="Times New Roman" w:hAnsi="Times New Roman" w:cs="Times New Roman"/>
          <w:sz w:val="24"/>
          <w:szCs w:val="24"/>
        </w:rPr>
        <w:t xml:space="preserve"> vocation de la procédure préjudicielle passe par l’atte</w:t>
      </w:r>
      <w:r w:rsidR="00F63F06">
        <w:rPr>
          <w:rFonts w:ascii="Times New Roman" w:hAnsi="Times New Roman" w:cs="Times New Roman"/>
          <w:sz w:val="24"/>
          <w:szCs w:val="24"/>
        </w:rPr>
        <w:t>i</w:t>
      </w:r>
      <w:r w:rsidR="0027285C" w:rsidRPr="00695693">
        <w:rPr>
          <w:rFonts w:ascii="Times New Roman" w:hAnsi="Times New Roman" w:cs="Times New Roman"/>
          <w:sz w:val="24"/>
          <w:szCs w:val="24"/>
        </w:rPr>
        <w:t>nte des objectifs qu’elle s’assigne et cela au regard de sa mise en œuvre concrète.</w:t>
      </w:r>
      <w:r w:rsidR="00732680" w:rsidRPr="00695693">
        <w:rPr>
          <w:rFonts w:ascii="Times New Roman" w:hAnsi="Times New Roman" w:cs="Times New Roman"/>
          <w:sz w:val="24"/>
          <w:szCs w:val="24"/>
        </w:rPr>
        <w:t xml:space="preserve">Sur ce point, on se rend compte que cette procédure, telle que consacrée </w:t>
      </w:r>
      <w:r w:rsidR="00303940" w:rsidRPr="00695693">
        <w:rPr>
          <w:rFonts w:ascii="Times New Roman" w:hAnsi="Times New Roman" w:cs="Times New Roman"/>
          <w:sz w:val="24"/>
          <w:szCs w:val="24"/>
        </w:rPr>
        <w:t xml:space="preserve"> théoriquement </w:t>
      </w:r>
      <w:r w:rsidR="00732680" w:rsidRPr="00695693">
        <w:rPr>
          <w:rFonts w:ascii="Times New Roman" w:hAnsi="Times New Roman" w:cs="Times New Roman"/>
          <w:sz w:val="24"/>
          <w:szCs w:val="24"/>
        </w:rPr>
        <w:t>par le législateur CEDEAO de 2005, n’a jamais été exploitée puisque le prétoire du juge CEDEAO n’a pas encore connu une question de nature préjudicielle.</w:t>
      </w:r>
      <w:r w:rsidR="008E01C9" w:rsidRPr="00695693">
        <w:rPr>
          <w:rFonts w:ascii="Times New Roman" w:hAnsi="Times New Roman" w:cs="Times New Roman"/>
          <w:sz w:val="24"/>
          <w:szCs w:val="24"/>
        </w:rPr>
        <w:t xml:space="preserve"> Les raisons de l’inexistence de ce type de recours devant le juge CEDEAO se trouvent à la fois dans des marges de manœuvre reconnues aux protagonistes </w:t>
      </w:r>
      <w:r w:rsidR="008E01C9" w:rsidRPr="00695693">
        <w:rPr>
          <w:rFonts w:ascii="Times New Roman" w:hAnsi="Times New Roman" w:cs="Times New Roman"/>
          <w:sz w:val="24"/>
          <w:szCs w:val="24"/>
        </w:rPr>
        <w:lastRenderedPageBreak/>
        <w:t>de</w:t>
      </w:r>
      <w:r w:rsidR="00155B03">
        <w:rPr>
          <w:rFonts w:ascii="Times New Roman" w:hAnsi="Times New Roman" w:cs="Times New Roman"/>
          <w:sz w:val="24"/>
          <w:szCs w:val="24"/>
        </w:rPr>
        <w:t>mise en œuvre de</w:t>
      </w:r>
      <w:r w:rsidR="008E01C9" w:rsidRPr="00695693">
        <w:rPr>
          <w:rFonts w:ascii="Times New Roman" w:hAnsi="Times New Roman" w:cs="Times New Roman"/>
          <w:sz w:val="24"/>
          <w:szCs w:val="24"/>
        </w:rPr>
        <w:t xml:space="preserve"> ladite procédure et dans des difficultés matérielles lié</w:t>
      </w:r>
      <w:r w:rsidR="00D33F28" w:rsidRPr="00695693">
        <w:rPr>
          <w:rFonts w:ascii="Times New Roman" w:hAnsi="Times New Roman" w:cs="Times New Roman"/>
          <w:sz w:val="24"/>
          <w:szCs w:val="24"/>
        </w:rPr>
        <w:t>e</w:t>
      </w:r>
      <w:r w:rsidR="008E01C9" w:rsidRPr="00695693">
        <w:rPr>
          <w:rFonts w:ascii="Times New Roman" w:hAnsi="Times New Roman" w:cs="Times New Roman"/>
          <w:sz w:val="24"/>
          <w:szCs w:val="24"/>
        </w:rPr>
        <w:t>s à ces derniers.</w:t>
      </w:r>
      <w:r w:rsidR="00535388">
        <w:rPr>
          <w:rFonts w:ascii="Times New Roman" w:hAnsi="Times New Roman" w:cs="Times New Roman"/>
          <w:sz w:val="24"/>
          <w:szCs w:val="24"/>
        </w:rPr>
        <w:t xml:space="preserve"> T</w:t>
      </w:r>
      <w:r w:rsidR="008E01C9" w:rsidRPr="00695693">
        <w:rPr>
          <w:rFonts w:ascii="Times New Roman" w:hAnsi="Times New Roman" w:cs="Times New Roman"/>
          <w:sz w:val="24"/>
          <w:szCs w:val="24"/>
        </w:rPr>
        <w:t xml:space="preserve">outefois, </w:t>
      </w:r>
      <w:r w:rsidR="00C65ADC" w:rsidRPr="00695693">
        <w:rPr>
          <w:rFonts w:ascii="Times New Roman" w:hAnsi="Times New Roman" w:cs="Times New Roman"/>
          <w:sz w:val="24"/>
          <w:szCs w:val="24"/>
        </w:rPr>
        <w:t>quoique pratiqueme</w:t>
      </w:r>
      <w:r w:rsidR="00AA69F1">
        <w:rPr>
          <w:rFonts w:ascii="Times New Roman" w:hAnsi="Times New Roman" w:cs="Times New Roman"/>
          <w:sz w:val="24"/>
          <w:szCs w:val="24"/>
        </w:rPr>
        <w:t>nt inexploité, c</w:t>
      </w:r>
      <w:r w:rsidR="00C65ADC" w:rsidRPr="00695693">
        <w:rPr>
          <w:rFonts w:ascii="Times New Roman" w:hAnsi="Times New Roman" w:cs="Times New Roman"/>
          <w:sz w:val="24"/>
          <w:szCs w:val="24"/>
        </w:rPr>
        <w:t xml:space="preserve">e mécanisme du renvoi préjudiciel </w:t>
      </w:r>
      <w:r w:rsidR="00303940" w:rsidRPr="00695693">
        <w:rPr>
          <w:rFonts w:ascii="Times New Roman" w:hAnsi="Times New Roman" w:cs="Times New Roman"/>
          <w:sz w:val="24"/>
          <w:szCs w:val="24"/>
        </w:rPr>
        <w:t xml:space="preserve">reste tout de mêmeune réalité </w:t>
      </w:r>
      <w:r w:rsidR="00C65ADC" w:rsidRPr="00695693">
        <w:rPr>
          <w:rFonts w:ascii="Times New Roman" w:hAnsi="Times New Roman" w:cs="Times New Roman"/>
          <w:sz w:val="24"/>
          <w:szCs w:val="24"/>
        </w:rPr>
        <w:t>théo</w:t>
      </w:r>
      <w:r w:rsidR="00330781" w:rsidRPr="00695693">
        <w:rPr>
          <w:rFonts w:ascii="Times New Roman" w:hAnsi="Times New Roman" w:cs="Times New Roman"/>
          <w:sz w:val="24"/>
          <w:szCs w:val="24"/>
        </w:rPr>
        <w:t>rique</w:t>
      </w:r>
      <w:r w:rsidR="00303940" w:rsidRPr="00695693">
        <w:rPr>
          <w:rFonts w:ascii="Times New Roman" w:hAnsi="Times New Roman" w:cs="Times New Roman"/>
          <w:sz w:val="24"/>
          <w:szCs w:val="24"/>
        </w:rPr>
        <w:t>. L’existence des outils de mis</w:t>
      </w:r>
      <w:r w:rsidR="00C90DDC" w:rsidRPr="00695693">
        <w:rPr>
          <w:rFonts w:ascii="Times New Roman" w:hAnsi="Times New Roman" w:cs="Times New Roman"/>
          <w:sz w:val="24"/>
          <w:szCs w:val="24"/>
        </w:rPr>
        <w:t>e</w:t>
      </w:r>
      <w:r w:rsidR="00303940" w:rsidRPr="00695693">
        <w:rPr>
          <w:rFonts w:ascii="Times New Roman" w:hAnsi="Times New Roman" w:cs="Times New Roman"/>
          <w:sz w:val="24"/>
          <w:szCs w:val="24"/>
        </w:rPr>
        <w:t xml:space="preserve"> en œuvre </w:t>
      </w:r>
      <w:r w:rsidR="00D33F28" w:rsidRPr="00695693">
        <w:rPr>
          <w:rFonts w:ascii="Times New Roman" w:hAnsi="Times New Roman" w:cs="Times New Roman"/>
          <w:sz w:val="24"/>
          <w:szCs w:val="24"/>
        </w:rPr>
        <w:t xml:space="preserve">et le respect </w:t>
      </w:r>
      <w:r w:rsidR="00C53EBC" w:rsidRPr="00695693">
        <w:rPr>
          <w:rFonts w:ascii="Times New Roman" w:hAnsi="Times New Roman" w:cs="Times New Roman"/>
          <w:sz w:val="24"/>
          <w:szCs w:val="24"/>
        </w:rPr>
        <w:t xml:space="preserve">des règles de l’instance préjudicielle témoignent </w:t>
      </w:r>
      <w:r w:rsidR="00303940" w:rsidRPr="00695693">
        <w:rPr>
          <w:rFonts w:ascii="Times New Roman" w:hAnsi="Times New Roman" w:cs="Times New Roman"/>
          <w:sz w:val="24"/>
          <w:szCs w:val="24"/>
        </w:rPr>
        <w:t>d’une telle réalité. Cela conduira alors, afin de concilier l’</w:t>
      </w:r>
      <w:r w:rsidR="001F1142" w:rsidRPr="00695693">
        <w:rPr>
          <w:rFonts w:ascii="Times New Roman" w:hAnsi="Times New Roman" w:cs="Times New Roman"/>
          <w:sz w:val="24"/>
          <w:szCs w:val="24"/>
        </w:rPr>
        <w:t>intérêt</w:t>
      </w:r>
      <w:r w:rsidR="00303940" w:rsidRPr="00695693">
        <w:rPr>
          <w:rFonts w:ascii="Times New Roman" w:hAnsi="Times New Roman" w:cs="Times New Roman"/>
          <w:sz w:val="24"/>
          <w:szCs w:val="24"/>
        </w:rPr>
        <w:t xml:space="preserve"> de ce thème avec sa problématique, à avoir une vision </w:t>
      </w:r>
      <w:r w:rsidR="009C0511">
        <w:rPr>
          <w:rFonts w:ascii="Times New Roman" w:hAnsi="Times New Roman" w:cs="Times New Roman"/>
          <w:sz w:val="24"/>
          <w:szCs w:val="24"/>
        </w:rPr>
        <w:t xml:space="preserve">holistique </w:t>
      </w:r>
      <w:r w:rsidR="00303940" w:rsidRPr="00695693">
        <w:rPr>
          <w:rFonts w:ascii="Times New Roman" w:hAnsi="Times New Roman" w:cs="Times New Roman"/>
          <w:sz w:val="24"/>
          <w:szCs w:val="24"/>
        </w:rPr>
        <w:t>de ce type de recours</w:t>
      </w:r>
      <w:r w:rsidR="0076255A">
        <w:rPr>
          <w:rFonts w:ascii="Times New Roman" w:hAnsi="Times New Roman" w:cs="Times New Roman"/>
          <w:sz w:val="24"/>
          <w:szCs w:val="24"/>
        </w:rPr>
        <w:t>. C’est ainsi que cette étude se donnera pour objectif de démontrer que nonobstant le fait que le renvoi préjudiciel soit un mécanisme théoriquement consacré</w:t>
      </w:r>
      <w:r w:rsidR="008647AC">
        <w:rPr>
          <w:rFonts w:ascii="Times New Roman" w:hAnsi="Times New Roman" w:cs="Times New Roman"/>
          <w:sz w:val="24"/>
          <w:szCs w:val="24"/>
        </w:rPr>
        <w:t xml:space="preserve"> (</w:t>
      </w:r>
      <w:r w:rsidR="008647AC" w:rsidRPr="008647AC">
        <w:rPr>
          <w:rFonts w:ascii="Times New Roman" w:hAnsi="Times New Roman" w:cs="Times New Roman"/>
          <w:b/>
          <w:sz w:val="24"/>
          <w:szCs w:val="24"/>
        </w:rPr>
        <w:t>Titre I</w:t>
      </w:r>
      <w:r w:rsidR="008647AC">
        <w:rPr>
          <w:rFonts w:ascii="Times New Roman" w:hAnsi="Times New Roman" w:cs="Times New Roman"/>
          <w:sz w:val="24"/>
          <w:szCs w:val="24"/>
        </w:rPr>
        <w:t>)</w:t>
      </w:r>
      <w:r w:rsidR="0076255A">
        <w:rPr>
          <w:rFonts w:ascii="Times New Roman" w:hAnsi="Times New Roman" w:cs="Times New Roman"/>
          <w:sz w:val="24"/>
          <w:szCs w:val="24"/>
        </w:rPr>
        <w:t xml:space="preserve">, un examen </w:t>
      </w:r>
      <w:r w:rsidR="0076255A" w:rsidRPr="00F22955">
        <w:rPr>
          <w:rFonts w:ascii="Times New Roman" w:hAnsi="Times New Roman" w:cs="Times New Roman"/>
          <w:sz w:val="24"/>
          <w:szCs w:val="24"/>
        </w:rPr>
        <w:t xml:space="preserve">de l’activité </w:t>
      </w:r>
      <w:r w:rsidR="0076255A">
        <w:rPr>
          <w:rFonts w:ascii="Times New Roman" w:hAnsi="Times New Roman" w:cs="Times New Roman"/>
          <w:sz w:val="24"/>
          <w:szCs w:val="24"/>
        </w:rPr>
        <w:t>des organes intervenant</w:t>
      </w:r>
      <w:r w:rsidR="00E567EC">
        <w:rPr>
          <w:rFonts w:ascii="Times New Roman" w:hAnsi="Times New Roman" w:cs="Times New Roman"/>
          <w:sz w:val="24"/>
          <w:szCs w:val="24"/>
        </w:rPr>
        <w:t>s</w:t>
      </w:r>
      <w:r w:rsidR="0076255A">
        <w:rPr>
          <w:rFonts w:ascii="Times New Roman" w:hAnsi="Times New Roman" w:cs="Times New Roman"/>
          <w:sz w:val="24"/>
          <w:szCs w:val="24"/>
        </w:rPr>
        <w:t xml:space="preserve"> dans la mise en œuvre dudit renvoi révèle qu’il demeureun mécanisme pratiquement inexploité</w:t>
      </w:r>
      <w:r w:rsidR="008647AC">
        <w:rPr>
          <w:rFonts w:ascii="Times New Roman" w:hAnsi="Times New Roman" w:cs="Times New Roman"/>
          <w:sz w:val="24"/>
          <w:szCs w:val="24"/>
        </w:rPr>
        <w:t xml:space="preserve"> (</w:t>
      </w:r>
      <w:r w:rsidR="008647AC" w:rsidRPr="008647AC">
        <w:rPr>
          <w:rFonts w:ascii="Times New Roman" w:hAnsi="Times New Roman" w:cs="Times New Roman"/>
          <w:b/>
          <w:sz w:val="24"/>
          <w:szCs w:val="24"/>
        </w:rPr>
        <w:t>Titre II</w:t>
      </w:r>
      <w:r w:rsidR="008647AC">
        <w:rPr>
          <w:rFonts w:ascii="Times New Roman" w:hAnsi="Times New Roman" w:cs="Times New Roman"/>
          <w:sz w:val="24"/>
          <w:szCs w:val="24"/>
        </w:rPr>
        <w:t>)</w:t>
      </w:r>
      <w:r w:rsidR="0076255A">
        <w:rPr>
          <w:rFonts w:ascii="Times New Roman" w:hAnsi="Times New Roman" w:cs="Times New Roman"/>
          <w:sz w:val="24"/>
          <w:szCs w:val="24"/>
        </w:rPr>
        <w:t>.</w:t>
      </w:r>
      <w:bookmarkStart w:id="14" w:name="_Toc515108222"/>
    </w:p>
    <w:p w:rsidR="0062185B" w:rsidRPr="005D5089" w:rsidRDefault="0062185B" w:rsidP="005D5089"/>
    <w:p w:rsidR="00C60AB6" w:rsidRDefault="00C60AB6">
      <w:r>
        <w:br w:type="page"/>
      </w:r>
    </w:p>
    <w:p w:rsidR="00194984" w:rsidRDefault="00694424" w:rsidP="00414AB8">
      <w:pPr>
        <w:pStyle w:val="Titre1"/>
      </w:pPr>
      <w:bookmarkStart w:id="15" w:name="_Toc518671703"/>
      <w:bookmarkStart w:id="16" w:name="_Toc518672777"/>
      <w:r w:rsidRPr="00234156">
        <w:lastRenderedPageBreak/>
        <w:t>TITRE</w:t>
      </w:r>
      <w:r w:rsidR="003E52AC" w:rsidRPr="00234156">
        <w:t xml:space="preserve"> I</w:t>
      </w:r>
      <w:r w:rsidRPr="00234156">
        <w:t> : UN RENVOI THEORIQUEMENT CONSACRE</w:t>
      </w:r>
      <w:bookmarkEnd w:id="14"/>
      <w:bookmarkEnd w:id="15"/>
      <w:bookmarkEnd w:id="16"/>
    </w:p>
    <w:p w:rsidR="00BA3FAE" w:rsidRPr="00C735B0" w:rsidRDefault="00BA3FAE" w:rsidP="00BA3FAE">
      <w:pPr>
        <w:rPr>
          <w:rFonts w:ascii="Times New Roman" w:hAnsi="Times New Roman" w:cs="Times New Roman"/>
          <w:sz w:val="24"/>
          <w:szCs w:val="24"/>
        </w:rPr>
      </w:pPr>
    </w:p>
    <w:p w:rsidR="00E74C22" w:rsidRPr="005119B5" w:rsidRDefault="00694424" w:rsidP="00695693">
      <w:pPr>
        <w:spacing w:line="360" w:lineRule="auto"/>
        <w:jc w:val="both"/>
        <w:rPr>
          <w:rFonts w:ascii="Times New Roman" w:hAnsi="Times New Roman" w:cs="Times New Roman"/>
          <w:color w:val="FF0000"/>
          <w:sz w:val="24"/>
          <w:szCs w:val="24"/>
        </w:rPr>
      </w:pPr>
      <w:r w:rsidRPr="00695693">
        <w:rPr>
          <w:rFonts w:ascii="Times New Roman" w:hAnsi="Times New Roman" w:cs="Times New Roman"/>
          <w:sz w:val="24"/>
          <w:szCs w:val="24"/>
        </w:rPr>
        <w:t>En tant qu’instrument « </w:t>
      </w:r>
      <w:r w:rsidRPr="00695693">
        <w:rPr>
          <w:rFonts w:ascii="Times New Roman" w:hAnsi="Times New Roman" w:cs="Times New Roman"/>
          <w:i/>
          <w:sz w:val="24"/>
          <w:szCs w:val="24"/>
        </w:rPr>
        <w:t>privilégié du dialogue des juges</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38"/>
      </w:r>
      <w:r w:rsidRPr="00695693">
        <w:rPr>
          <w:rFonts w:ascii="Times New Roman" w:hAnsi="Times New Roman" w:cs="Times New Roman"/>
          <w:sz w:val="24"/>
          <w:szCs w:val="24"/>
        </w:rPr>
        <w:t xml:space="preserve"> en droit de la communauté, la technique de renvoi préjudiciel est aujourd’hui consacrée </w:t>
      </w:r>
      <w:r w:rsidR="004877E5" w:rsidRPr="00695693">
        <w:rPr>
          <w:rFonts w:ascii="Times New Roman" w:hAnsi="Times New Roman" w:cs="Times New Roman"/>
          <w:sz w:val="24"/>
          <w:szCs w:val="24"/>
        </w:rPr>
        <w:t xml:space="preserve">dans le système </w:t>
      </w:r>
      <w:r w:rsidRPr="00695693">
        <w:rPr>
          <w:rFonts w:ascii="Times New Roman" w:hAnsi="Times New Roman" w:cs="Times New Roman"/>
          <w:sz w:val="24"/>
          <w:szCs w:val="24"/>
        </w:rPr>
        <w:t>CEDEAO</w:t>
      </w:r>
      <w:r w:rsidR="00F83D61" w:rsidRPr="00695693">
        <w:rPr>
          <w:rFonts w:ascii="Times New Roman" w:hAnsi="Times New Roman" w:cs="Times New Roman"/>
          <w:sz w:val="24"/>
          <w:szCs w:val="24"/>
        </w:rPr>
        <w:t>. Ainsi</w:t>
      </w:r>
      <w:r w:rsidRPr="00695693">
        <w:rPr>
          <w:rFonts w:ascii="Times New Roman" w:hAnsi="Times New Roman" w:cs="Times New Roman"/>
          <w:sz w:val="24"/>
          <w:szCs w:val="24"/>
        </w:rPr>
        <w:t>, l’art. 10</w:t>
      </w:r>
      <w:r w:rsidR="007855DA" w:rsidRPr="00695693">
        <w:rPr>
          <w:rFonts w:ascii="Times New Roman" w:hAnsi="Times New Roman" w:cs="Times New Roman"/>
          <w:sz w:val="24"/>
          <w:szCs w:val="24"/>
        </w:rPr>
        <w:t>,</w:t>
      </w:r>
      <w:r w:rsidR="006735D1">
        <w:rPr>
          <w:rFonts w:ascii="Times New Roman" w:hAnsi="Times New Roman" w:cs="Times New Roman"/>
          <w:sz w:val="24"/>
          <w:szCs w:val="24"/>
        </w:rPr>
        <w:t xml:space="preserve">point </w:t>
      </w:r>
      <w:r w:rsidRPr="00695693">
        <w:rPr>
          <w:rFonts w:ascii="Times New Roman" w:hAnsi="Times New Roman" w:cs="Times New Roman"/>
          <w:sz w:val="24"/>
          <w:szCs w:val="24"/>
        </w:rPr>
        <w:t xml:space="preserve">f du protocole de 1991 amendé </w:t>
      </w:r>
      <w:r w:rsidR="00E74C22" w:rsidRPr="00695693">
        <w:rPr>
          <w:rFonts w:ascii="Times New Roman" w:hAnsi="Times New Roman" w:cs="Times New Roman"/>
          <w:sz w:val="24"/>
          <w:szCs w:val="24"/>
        </w:rPr>
        <w:t>par le protocole d’Accra du 19 j</w:t>
      </w:r>
      <w:r w:rsidRPr="00695693">
        <w:rPr>
          <w:rFonts w:ascii="Times New Roman" w:hAnsi="Times New Roman" w:cs="Times New Roman"/>
          <w:sz w:val="24"/>
          <w:szCs w:val="24"/>
        </w:rPr>
        <w:t>anvier 2005 énonce que : « </w:t>
      </w:r>
      <w:r w:rsidRPr="00695693">
        <w:rPr>
          <w:rFonts w:ascii="Times New Roman" w:hAnsi="Times New Roman" w:cs="Times New Roman"/>
          <w:i/>
          <w:sz w:val="24"/>
          <w:szCs w:val="24"/>
        </w:rPr>
        <w:t>lorsque la Cour doit statuer à titre préjudiciel sur l’interprétation du  Traité, des  protocoles et Règlements ; les juridictions nationales peuvent décider elles-mêmes, ou à la demande d’une des parties au différend, de porter la question devant la Cour de justice de la Communauté pour interprétation</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39"/>
      </w:r>
      <w:r w:rsidRPr="00695693">
        <w:rPr>
          <w:rFonts w:ascii="Times New Roman" w:hAnsi="Times New Roman" w:cs="Times New Roman"/>
          <w:sz w:val="24"/>
          <w:szCs w:val="24"/>
        </w:rPr>
        <w:t xml:space="preserve">.La même </w:t>
      </w:r>
      <w:r w:rsidR="0012630A" w:rsidRPr="00695693">
        <w:rPr>
          <w:rFonts w:ascii="Times New Roman" w:hAnsi="Times New Roman" w:cs="Times New Roman"/>
          <w:sz w:val="24"/>
          <w:szCs w:val="24"/>
        </w:rPr>
        <w:t xml:space="preserve">consécration </w:t>
      </w:r>
      <w:r w:rsidR="00537E93" w:rsidRPr="00695693">
        <w:rPr>
          <w:rFonts w:ascii="Times New Roman" w:hAnsi="Times New Roman" w:cs="Times New Roman"/>
          <w:sz w:val="24"/>
          <w:szCs w:val="24"/>
        </w:rPr>
        <w:t xml:space="preserve">existe </w:t>
      </w:r>
      <w:r w:rsidRPr="00695693">
        <w:rPr>
          <w:rFonts w:ascii="Times New Roman" w:hAnsi="Times New Roman" w:cs="Times New Roman"/>
          <w:sz w:val="24"/>
          <w:szCs w:val="24"/>
        </w:rPr>
        <w:t>expressément</w:t>
      </w:r>
      <w:r w:rsidR="004A16BD" w:rsidRPr="00695693">
        <w:rPr>
          <w:rFonts w:ascii="Times New Roman" w:hAnsi="Times New Roman" w:cs="Times New Roman"/>
          <w:sz w:val="24"/>
          <w:szCs w:val="24"/>
        </w:rPr>
        <w:t xml:space="preserve"> en droit UEMOA</w:t>
      </w:r>
      <w:r w:rsidR="004A16BD" w:rsidRPr="00695693">
        <w:rPr>
          <w:rStyle w:val="Appelnotedebasdep"/>
          <w:rFonts w:ascii="Times New Roman" w:hAnsi="Times New Roman" w:cs="Times New Roman"/>
          <w:sz w:val="24"/>
          <w:szCs w:val="24"/>
        </w:rPr>
        <w:footnoteReference w:id="40"/>
      </w:r>
      <w:r w:rsidR="004A16BD" w:rsidRPr="00695693">
        <w:rPr>
          <w:rFonts w:ascii="Times New Roman" w:hAnsi="Times New Roman" w:cs="Times New Roman"/>
          <w:sz w:val="24"/>
          <w:szCs w:val="24"/>
        </w:rPr>
        <w:t>, CEMAC</w:t>
      </w:r>
      <w:r w:rsidR="004A16BD" w:rsidRPr="00695693">
        <w:rPr>
          <w:rStyle w:val="Appelnotedebasdep"/>
          <w:rFonts w:ascii="Times New Roman" w:hAnsi="Times New Roman" w:cs="Times New Roman"/>
          <w:sz w:val="24"/>
          <w:szCs w:val="24"/>
        </w:rPr>
        <w:footnoteReference w:id="41"/>
      </w:r>
      <w:r w:rsidR="004A16BD" w:rsidRPr="00695693">
        <w:rPr>
          <w:rFonts w:ascii="Times New Roman" w:hAnsi="Times New Roman" w:cs="Times New Roman"/>
          <w:sz w:val="24"/>
          <w:szCs w:val="24"/>
        </w:rPr>
        <w:t>, COMESA</w:t>
      </w:r>
      <w:r w:rsidR="004A16BD" w:rsidRPr="00695693">
        <w:rPr>
          <w:rStyle w:val="Appelnotedebasdep"/>
          <w:rFonts w:ascii="Times New Roman" w:hAnsi="Times New Roman" w:cs="Times New Roman"/>
          <w:sz w:val="24"/>
          <w:szCs w:val="24"/>
        </w:rPr>
        <w:footnoteReference w:id="42"/>
      </w:r>
      <w:r w:rsidR="004A16BD" w:rsidRPr="00695693">
        <w:rPr>
          <w:rFonts w:ascii="Times New Roman" w:hAnsi="Times New Roman" w:cs="Times New Roman"/>
          <w:sz w:val="24"/>
          <w:szCs w:val="24"/>
        </w:rPr>
        <w:t>, SADC</w:t>
      </w:r>
      <w:r w:rsidR="004A16BD" w:rsidRPr="00695693">
        <w:rPr>
          <w:rStyle w:val="Appelnotedebasdep"/>
          <w:rFonts w:ascii="Times New Roman" w:hAnsi="Times New Roman" w:cs="Times New Roman"/>
          <w:sz w:val="24"/>
          <w:szCs w:val="24"/>
        </w:rPr>
        <w:footnoteReference w:id="43"/>
      </w:r>
      <w:r w:rsidR="000555EF" w:rsidRPr="00695693">
        <w:rPr>
          <w:rFonts w:ascii="Times New Roman" w:hAnsi="Times New Roman" w:cs="Times New Roman"/>
          <w:sz w:val="24"/>
          <w:szCs w:val="24"/>
        </w:rPr>
        <w:t>, OHADA</w:t>
      </w:r>
      <w:r w:rsidR="000555EF" w:rsidRPr="00695693">
        <w:rPr>
          <w:rStyle w:val="Appelnotedebasdep"/>
          <w:rFonts w:ascii="Times New Roman" w:hAnsi="Times New Roman" w:cs="Times New Roman"/>
          <w:sz w:val="24"/>
          <w:szCs w:val="24"/>
        </w:rPr>
        <w:footnoteReference w:id="44"/>
      </w:r>
      <w:r w:rsidR="004A16BD" w:rsidRPr="00695693">
        <w:rPr>
          <w:rFonts w:ascii="Times New Roman" w:hAnsi="Times New Roman" w:cs="Times New Roman"/>
          <w:sz w:val="24"/>
          <w:szCs w:val="24"/>
        </w:rPr>
        <w:t xml:space="preserve"> et européen</w:t>
      </w:r>
      <w:r w:rsidR="004A16BD" w:rsidRPr="00695693">
        <w:rPr>
          <w:rStyle w:val="Appelnotedebasdep"/>
          <w:rFonts w:ascii="Times New Roman" w:hAnsi="Times New Roman" w:cs="Times New Roman"/>
          <w:sz w:val="24"/>
          <w:szCs w:val="24"/>
        </w:rPr>
        <w:footnoteReference w:id="45"/>
      </w:r>
      <w:r w:rsidR="004A16BD" w:rsidRPr="00695693">
        <w:rPr>
          <w:rFonts w:ascii="Times New Roman" w:hAnsi="Times New Roman" w:cs="Times New Roman"/>
          <w:sz w:val="24"/>
          <w:szCs w:val="24"/>
        </w:rPr>
        <w:t>.</w:t>
      </w:r>
      <w:r w:rsidRPr="00695693">
        <w:rPr>
          <w:rFonts w:ascii="Times New Roman" w:hAnsi="Times New Roman" w:cs="Times New Roman"/>
          <w:sz w:val="24"/>
          <w:szCs w:val="24"/>
        </w:rPr>
        <w:t xml:space="preserve">Quoi qu’il en soit, </w:t>
      </w:r>
      <w:r w:rsidR="0052481B" w:rsidRPr="00695693">
        <w:rPr>
          <w:rFonts w:ascii="Times New Roman" w:hAnsi="Times New Roman" w:cs="Times New Roman"/>
          <w:sz w:val="24"/>
          <w:szCs w:val="24"/>
        </w:rPr>
        <w:t xml:space="preserve">cette </w:t>
      </w:r>
      <w:r w:rsidRPr="00695693">
        <w:rPr>
          <w:rFonts w:ascii="Times New Roman" w:hAnsi="Times New Roman" w:cs="Times New Roman"/>
          <w:sz w:val="24"/>
          <w:szCs w:val="24"/>
        </w:rPr>
        <w:t>procédure préjudicielle vise soit à interpréter une disposition du droit de la Communauté (renvoi en interprétation d’un acte communautaire)</w:t>
      </w:r>
      <w:r w:rsidR="006D3FD9">
        <w:rPr>
          <w:rStyle w:val="Appelnotedebasdep"/>
          <w:rFonts w:ascii="Times New Roman" w:hAnsi="Times New Roman" w:cs="Times New Roman"/>
          <w:sz w:val="24"/>
          <w:szCs w:val="24"/>
        </w:rPr>
        <w:footnoteReference w:id="46"/>
      </w:r>
      <w:r w:rsidRPr="00695693">
        <w:rPr>
          <w:rFonts w:ascii="Times New Roman" w:hAnsi="Times New Roman" w:cs="Times New Roman"/>
          <w:sz w:val="24"/>
          <w:szCs w:val="24"/>
        </w:rPr>
        <w:t> ; soit à apprécier sa validité (renvoi en appréciation de validité)</w:t>
      </w:r>
      <w:r w:rsidR="00EC58F5">
        <w:rPr>
          <w:rStyle w:val="Appelnotedebasdep"/>
          <w:rFonts w:ascii="Times New Roman" w:hAnsi="Times New Roman" w:cs="Times New Roman"/>
          <w:sz w:val="24"/>
          <w:szCs w:val="24"/>
        </w:rPr>
        <w:footnoteReference w:id="47"/>
      </w:r>
      <w:r w:rsidR="00EC58F5">
        <w:rPr>
          <w:rFonts w:ascii="Times New Roman" w:hAnsi="Times New Roman" w:cs="Times New Roman"/>
          <w:sz w:val="24"/>
          <w:szCs w:val="24"/>
        </w:rPr>
        <w:t>.</w:t>
      </w:r>
      <w:r w:rsidR="00222F76">
        <w:rPr>
          <w:rFonts w:ascii="Times New Roman" w:hAnsi="Times New Roman" w:cs="Times New Roman"/>
          <w:sz w:val="24"/>
          <w:szCs w:val="24"/>
        </w:rPr>
        <w:t>A cet égard, il convient d</w:t>
      </w:r>
      <w:r w:rsidR="00B8044D">
        <w:rPr>
          <w:rFonts w:ascii="Times New Roman" w:hAnsi="Times New Roman" w:cs="Times New Roman"/>
          <w:sz w:val="24"/>
          <w:szCs w:val="24"/>
        </w:rPr>
        <w:t xml:space="preserve">’indiquer </w:t>
      </w:r>
      <w:r w:rsidR="00222F76">
        <w:rPr>
          <w:rFonts w:ascii="Times New Roman" w:hAnsi="Times New Roman" w:cs="Times New Roman"/>
          <w:sz w:val="24"/>
          <w:szCs w:val="24"/>
        </w:rPr>
        <w:t>que l</w:t>
      </w:r>
      <w:r w:rsidR="00833822">
        <w:rPr>
          <w:rFonts w:ascii="Times New Roman" w:hAnsi="Times New Roman" w:cs="Times New Roman"/>
          <w:sz w:val="24"/>
          <w:szCs w:val="24"/>
        </w:rPr>
        <w:t xml:space="preserve">a </w:t>
      </w:r>
      <w:r w:rsidR="00814E34">
        <w:rPr>
          <w:rFonts w:ascii="Times New Roman" w:hAnsi="Times New Roman" w:cs="Times New Roman"/>
          <w:sz w:val="24"/>
          <w:szCs w:val="24"/>
        </w:rPr>
        <w:t xml:space="preserve">question de sa </w:t>
      </w:r>
      <w:r w:rsidR="00833822">
        <w:rPr>
          <w:rFonts w:ascii="Times New Roman" w:hAnsi="Times New Roman" w:cs="Times New Roman"/>
          <w:sz w:val="24"/>
          <w:szCs w:val="24"/>
        </w:rPr>
        <w:t xml:space="preserve">mise en œuvre obéit au </w:t>
      </w:r>
      <w:r w:rsidR="00814E34">
        <w:rPr>
          <w:rFonts w:ascii="Times New Roman" w:hAnsi="Times New Roman" w:cs="Times New Roman"/>
          <w:sz w:val="24"/>
          <w:szCs w:val="24"/>
        </w:rPr>
        <w:t>respect de certaines exigences</w:t>
      </w:r>
      <w:r w:rsidR="00833822" w:rsidRPr="00833822">
        <w:rPr>
          <w:rFonts w:ascii="Times New Roman" w:hAnsi="Times New Roman" w:cs="Times New Roman"/>
          <w:sz w:val="24"/>
          <w:szCs w:val="24"/>
        </w:rPr>
        <w:t xml:space="preserve"> fondamentales </w:t>
      </w:r>
      <w:r w:rsidR="00833822">
        <w:rPr>
          <w:rFonts w:ascii="Times New Roman" w:hAnsi="Times New Roman" w:cs="Times New Roman"/>
          <w:sz w:val="24"/>
          <w:szCs w:val="24"/>
        </w:rPr>
        <w:t xml:space="preserve">pendant </w:t>
      </w:r>
      <w:r w:rsidR="00833822" w:rsidRPr="00833822">
        <w:rPr>
          <w:rFonts w:ascii="Times New Roman" w:hAnsi="Times New Roman" w:cs="Times New Roman"/>
          <w:sz w:val="24"/>
          <w:szCs w:val="24"/>
        </w:rPr>
        <w:t xml:space="preserve">l’instance préjudicielle </w:t>
      </w:r>
      <w:r w:rsidR="00833822" w:rsidRPr="007C641F">
        <w:rPr>
          <w:rFonts w:ascii="Times New Roman" w:hAnsi="Times New Roman" w:cs="Times New Roman"/>
          <w:b/>
          <w:sz w:val="24"/>
          <w:szCs w:val="24"/>
        </w:rPr>
        <w:t>(Chapitre II)</w:t>
      </w:r>
      <w:r w:rsidR="007C641F">
        <w:rPr>
          <w:rFonts w:ascii="Times New Roman" w:hAnsi="Times New Roman" w:cs="Times New Roman"/>
          <w:sz w:val="24"/>
          <w:szCs w:val="24"/>
        </w:rPr>
        <w:t xml:space="preserve">. Toutefois, il serait opportun de procéder préalablement à une analyse des </w:t>
      </w:r>
      <w:r w:rsidR="007C641F" w:rsidRPr="007C641F">
        <w:rPr>
          <w:rFonts w:ascii="Times New Roman" w:hAnsi="Times New Roman" w:cs="Times New Roman"/>
          <w:sz w:val="24"/>
          <w:szCs w:val="24"/>
        </w:rPr>
        <w:t xml:space="preserve">outils de mise en œuvre du renvoi préjudiciel </w:t>
      </w:r>
      <w:r w:rsidR="007C641F" w:rsidRPr="007C641F">
        <w:rPr>
          <w:rFonts w:ascii="Times New Roman" w:hAnsi="Times New Roman" w:cs="Times New Roman"/>
          <w:b/>
          <w:sz w:val="24"/>
          <w:szCs w:val="24"/>
        </w:rPr>
        <w:t>(Chapitre I)</w:t>
      </w:r>
      <w:r w:rsidR="007C641F">
        <w:rPr>
          <w:rFonts w:ascii="Times New Roman" w:hAnsi="Times New Roman" w:cs="Times New Roman"/>
          <w:sz w:val="24"/>
          <w:szCs w:val="24"/>
        </w:rPr>
        <w:t>.</w:t>
      </w:r>
    </w:p>
    <w:p w:rsidR="005D5089" w:rsidRDefault="005D5089">
      <w:bookmarkStart w:id="17" w:name="_Toc515108223"/>
      <w:r>
        <w:br w:type="page"/>
      </w:r>
    </w:p>
    <w:p w:rsidR="00C13A4E" w:rsidRPr="007F5ECB" w:rsidRDefault="00694424" w:rsidP="005B471C">
      <w:pPr>
        <w:pStyle w:val="Titre2"/>
      </w:pPr>
      <w:bookmarkStart w:id="18" w:name="_Toc518671704"/>
      <w:bookmarkStart w:id="19" w:name="_Toc518672778"/>
      <w:r w:rsidRPr="007F5ECB">
        <w:lastRenderedPageBreak/>
        <w:t>CHAPITRE</w:t>
      </w:r>
      <w:r w:rsidR="0041608B" w:rsidRPr="007F5ECB">
        <w:t xml:space="preserve"> I</w:t>
      </w:r>
      <w:r w:rsidRPr="007F5ECB">
        <w:t> : LES OUTILS DE MISE</w:t>
      </w:r>
      <w:r w:rsidR="00C13A4E" w:rsidRPr="007F5ECB">
        <w:t xml:space="preserve"> EN ŒUVRE DU RENVOI PREJUDICIEL</w:t>
      </w:r>
      <w:bookmarkEnd w:id="17"/>
      <w:bookmarkEnd w:id="18"/>
      <w:bookmarkEnd w:id="19"/>
    </w:p>
    <w:p w:rsidR="00694424" w:rsidRPr="00695693" w:rsidRDefault="00CA04A8"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L</w:t>
      </w:r>
      <w:r w:rsidR="00694424" w:rsidRPr="00695693">
        <w:rPr>
          <w:rFonts w:ascii="Times New Roman" w:hAnsi="Times New Roman" w:cs="Times New Roman"/>
          <w:sz w:val="24"/>
          <w:szCs w:val="24"/>
        </w:rPr>
        <w:t>a mise en œuvre</w:t>
      </w:r>
      <w:r w:rsidRPr="00695693">
        <w:rPr>
          <w:rFonts w:ascii="Times New Roman" w:hAnsi="Times New Roman" w:cs="Times New Roman"/>
          <w:sz w:val="24"/>
          <w:szCs w:val="24"/>
        </w:rPr>
        <w:t xml:space="preserve"> du renvoi préjudiciel</w:t>
      </w:r>
      <w:r w:rsidR="00694424" w:rsidRPr="00695693">
        <w:rPr>
          <w:rFonts w:ascii="Times New Roman" w:hAnsi="Times New Roman" w:cs="Times New Roman"/>
          <w:sz w:val="24"/>
          <w:szCs w:val="24"/>
        </w:rPr>
        <w:t xml:space="preserve"> suppose d</w:t>
      </w:r>
      <w:r w:rsidRPr="00695693">
        <w:rPr>
          <w:rFonts w:ascii="Times New Roman" w:hAnsi="Times New Roman" w:cs="Times New Roman"/>
          <w:sz w:val="24"/>
          <w:szCs w:val="24"/>
        </w:rPr>
        <w:t>’abord de déterminer les outils nécessaires à cet effet</w:t>
      </w:r>
      <w:r w:rsidR="00694424" w:rsidRPr="00695693">
        <w:rPr>
          <w:rFonts w:ascii="Times New Roman" w:hAnsi="Times New Roman" w:cs="Times New Roman"/>
          <w:sz w:val="24"/>
          <w:szCs w:val="24"/>
        </w:rPr>
        <w:t xml:space="preserve">. Ainsi, ces derniers seront entendus, dans le sens le plus ordinaire en droit communautaire, comme des instruments et mécanismes communautaires concernés par la technique du renvoi préjudiciel. </w:t>
      </w:r>
      <w:r w:rsidR="00E465D7">
        <w:rPr>
          <w:rFonts w:ascii="Times New Roman" w:hAnsi="Times New Roman" w:cs="Times New Roman"/>
          <w:sz w:val="24"/>
          <w:szCs w:val="24"/>
        </w:rPr>
        <w:t xml:space="preserve">Ces outils ont trait non seulement aux </w:t>
      </w:r>
      <w:r w:rsidR="00E661F1" w:rsidRPr="00695693">
        <w:rPr>
          <w:rFonts w:ascii="Times New Roman" w:hAnsi="Times New Roman" w:cs="Times New Roman"/>
          <w:sz w:val="24"/>
          <w:szCs w:val="24"/>
        </w:rPr>
        <w:t>normes communautaires susceptibles de recours préjudiciel (</w:t>
      </w:r>
      <w:r w:rsidR="00E661F1" w:rsidRPr="00695693">
        <w:rPr>
          <w:rFonts w:ascii="Times New Roman" w:hAnsi="Times New Roman" w:cs="Times New Roman"/>
          <w:b/>
          <w:sz w:val="24"/>
          <w:szCs w:val="24"/>
        </w:rPr>
        <w:t>Section</w:t>
      </w:r>
      <w:r w:rsidR="003E52AC" w:rsidRPr="00695693">
        <w:rPr>
          <w:rFonts w:ascii="Times New Roman" w:hAnsi="Times New Roman" w:cs="Times New Roman"/>
          <w:b/>
          <w:sz w:val="24"/>
          <w:szCs w:val="24"/>
        </w:rPr>
        <w:t xml:space="preserve"> I</w:t>
      </w:r>
      <w:r w:rsidR="00E661F1" w:rsidRPr="00695693">
        <w:rPr>
          <w:rFonts w:ascii="Times New Roman" w:hAnsi="Times New Roman" w:cs="Times New Roman"/>
          <w:sz w:val="24"/>
          <w:szCs w:val="24"/>
        </w:rPr>
        <w:t>)</w:t>
      </w:r>
      <w:r w:rsidR="00E465D7">
        <w:rPr>
          <w:rFonts w:ascii="Times New Roman" w:hAnsi="Times New Roman" w:cs="Times New Roman"/>
          <w:sz w:val="24"/>
          <w:szCs w:val="24"/>
        </w:rPr>
        <w:t xml:space="preserve">, mais aussi aux </w:t>
      </w:r>
      <w:r w:rsidR="00BA4622">
        <w:rPr>
          <w:rFonts w:ascii="Times New Roman" w:hAnsi="Times New Roman" w:cs="Times New Roman"/>
          <w:sz w:val="24"/>
          <w:szCs w:val="24"/>
        </w:rPr>
        <w:t xml:space="preserve">différents </w:t>
      </w:r>
      <w:r w:rsidR="00E661F1" w:rsidRPr="00695693">
        <w:rPr>
          <w:rFonts w:ascii="Times New Roman" w:hAnsi="Times New Roman" w:cs="Times New Roman"/>
          <w:sz w:val="24"/>
          <w:szCs w:val="24"/>
        </w:rPr>
        <w:t xml:space="preserve">organes intervenants dans la mise en œuvre dudit recours </w:t>
      </w:r>
      <w:r w:rsidR="00694424" w:rsidRPr="00695693">
        <w:rPr>
          <w:rFonts w:ascii="Times New Roman" w:hAnsi="Times New Roman" w:cs="Times New Roman"/>
          <w:sz w:val="24"/>
          <w:szCs w:val="24"/>
        </w:rPr>
        <w:t>(</w:t>
      </w:r>
      <w:r w:rsidR="00694424" w:rsidRPr="00695693">
        <w:rPr>
          <w:rFonts w:ascii="Times New Roman" w:hAnsi="Times New Roman" w:cs="Times New Roman"/>
          <w:b/>
          <w:sz w:val="24"/>
          <w:szCs w:val="24"/>
        </w:rPr>
        <w:t>Section</w:t>
      </w:r>
      <w:r w:rsidR="003E52AC" w:rsidRPr="00695693">
        <w:rPr>
          <w:rFonts w:ascii="Times New Roman" w:hAnsi="Times New Roman" w:cs="Times New Roman"/>
          <w:b/>
          <w:sz w:val="24"/>
          <w:szCs w:val="24"/>
        </w:rPr>
        <w:t xml:space="preserve"> II</w:t>
      </w:r>
      <w:r w:rsidR="00694424" w:rsidRPr="00695693">
        <w:rPr>
          <w:rFonts w:ascii="Times New Roman" w:hAnsi="Times New Roman" w:cs="Times New Roman"/>
          <w:sz w:val="24"/>
          <w:szCs w:val="24"/>
        </w:rPr>
        <w:t>).</w:t>
      </w:r>
    </w:p>
    <w:p w:rsidR="00694424" w:rsidRPr="007A4443" w:rsidRDefault="003E52AC" w:rsidP="007A4443">
      <w:pPr>
        <w:pStyle w:val="Titre3"/>
      </w:pPr>
      <w:bookmarkStart w:id="20" w:name="_Toc515108224"/>
      <w:bookmarkStart w:id="21" w:name="_Toc518671705"/>
      <w:bookmarkStart w:id="22" w:name="_Toc518672779"/>
      <w:r w:rsidRPr="007A4443">
        <w:t>SECTION I</w:t>
      </w:r>
      <w:r w:rsidR="00694424" w:rsidRPr="007A4443">
        <w:t> : LES NORMES COMMUNAUTAIRES SUSCEPTIBLES DE RECOURS PREJUDICIEL</w:t>
      </w:r>
      <w:bookmarkEnd w:id="20"/>
      <w:bookmarkEnd w:id="21"/>
      <w:bookmarkEnd w:id="22"/>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L’étu</w:t>
      </w:r>
      <w:r w:rsidR="00D47A99">
        <w:rPr>
          <w:rFonts w:ascii="Times New Roman" w:hAnsi="Times New Roman" w:cs="Times New Roman"/>
          <w:sz w:val="24"/>
          <w:szCs w:val="24"/>
        </w:rPr>
        <w:t>de des instruments juridiques du</w:t>
      </w:r>
      <w:r w:rsidRPr="00695693">
        <w:rPr>
          <w:rFonts w:ascii="Times New Roman" w:hAnsi="Times New Roman" w:cs="Times New Roman"/>
          <w:sz w:val="24"/>
          <w:szCs w:val="24"/>
        </w:rPr>
        <w:t xml:space="preserve"> renvoi préjudiciel suppose d’analyser le champ d’application dudit renvoi. Ainsi, </w:t>
      </w:r>
      <w:r w:rsidR="00C4357C" w:rsidRPr="00695693">
        <w:rPr>
          <w:rFonts w:ascii="Times New Roman" w:hAnsi="Times New Roman" w:cs="Times New Roman"/>
          <w:sz w:val="24"/>
          <w:szCs w:val="24"/>
        </w:rPr>
        <w:t>c</w:t>
      </w:r>
      <w:r w:rsidRPr="00695693">
        <w:rPr>
          <w:rFonts w:ascii="Times New Roman" w:hAnsi="Times New Roman" w:cs="Times New Roman"/>
          <w:sz w:val="24"/>
          <w:szCs w:val="24"/>
        </w:rPr>
        <w:t xml:space="preserve">’est sur la base de </w:t>
      </w:r>
      <w:r w:rsidR="00C4357C" w:rsidRPr="00695693">
        <w:rPr>
          <w:rFonts w:ascii="Times New Roman" w:hAnsi="Times New Roman" w:cs="Times New Roman"/>
          <w:sz w:val="24"/>
          <w:szCs w:val="24"/>
        </w:rPr>
        <w:t xml:space="preserve">la </w:t>
      </w:r>
      <w:r w:rsidRPr="00695693">
        <w:rPr>
          <w:rFonts w:ascii="Times New Roman" w:hAnsi="Times New Roman" w:cs="Times New Roman"/>
          <w:sz w:val="24"/>
          <w:szCs w:val="24"/>
        </w:rPr>
        <w:t xml:space="preserve">disposition </w:t>
      </w:r>
      <w:r w:rsidR="00C4357C" w:rsidRPr="00695693">
        <w:rPr>
          <w:rFonts w:ascii="Times New Roman" w:hAnsi="Times New Roman" w:cs="Times New Roman"/>
          <w:sz w:val="24"/>
          <w:szCs w:val="24"/>
        </w:rPr>
        <w:t>de l’article 10,</w:t>
      </w:r>
      <w:r w:rsidR="00653E7D">
        <w:rPr>
          <w:rFonts w:ascii="Times New Roman" w:hAnsi="Times New Roman" w:cs="Times New Roman"/>
          <w:sz w:val="24"/>
          <w:szCs w:val="24"/>
        </w:rPr>
        <w:t xml:space="preserve"> point</w:t>
      </w:r>
      <w:r w:rsidR="00C4357C" w:rsidRPr="00695693">
        <w:rPr>
          <w:rFonts w:ascii="Times New Roman" w:hAnsi="Times New Roman" w:cs="Times New Roman"/>
          <w:sz w:val="24"/>
          <w:szCs w:val="24"/>
        </w:rPr>
        <w:t xml:space="preserve"> f du protocole d’Accra du 19 janvier 2005</w:t>
      </w:r>
      <w:r w:rsidR="00856613" w:rsidRPr="00856613">
        <w:rPr>
          <w:rFonts w:ascii="Times New Roman" w:hAnsi="Times New Roman" w:cs="Times New Roman"/>
          <w:sz w:val="24"/>
          <w:szCs w:val="24"/>
        </w:rPr>
        <w:t>que le champ d’application du renvoi préjudiciel sera davantage précisé</w:t>
      </w:r>
      <w:r w:rsidR="00D720A4" w:rsidRPr="00695693">
        <w:rPr>
          <w:rStyle w:val="Appelnotedebasdep"/>
          <w:rFonts w:ascii="Times New Roman" w:hAnsi="Times New Roman" w:cs="Times New Roman"/>
          <w:sz w:val="24"/>
          <w:szCs w:val="24"/>
        </w:rPr>
        <w:footnoteReference w:id="48"/>
      </w:r>
      <w:r w:rsidRPr="00695693">
        <w:rPr>
          <w:rFonts w:ascii="Times New Roman" w:hAnsi="Times New Roman" w:cs="Times New Roman"/>
          <w:sz w:val="24"/>
          <w:szCs w:val="24"/>
        </w:rPr>
        <w:t>. Ce faisant, la lecture de la</w:t>
      </w:r>
      <w:r w:rsidR="00C4357C" w:rsidRPr="00695693">
        <w:rPr>
          <w:rFonts w:ascii="Times New Roman" w:hAnsi="Times New Roman" w:cs="Times New Roman"/>
          <w:sz w:val="24"/>
          <w:szCs w:val="24"/>
        </w:rPr>
        <w:t>dite</w:t>
      </w:r>
      <w:r w:rsidR="003F02E6">
        <w:rPr>
          <w:rFonts w:ascii="Times New Roman" w:hAnsi="Times New Roman" w:cs="Times New Roman"/>
          <w:sz w:val="24"/>
          <w:szCs w:val="24"/>
        </w:rPr>
        <w:t xml:space="preserve"> disposition </w:t>
      </w:r>
      <w:r w:rsidRPr="00695693">
        <w:rPr>
          <w:rFonts w:ascii="Times New Roman" w:hAnsi="Times New Roman" w:cs="Times New Roman"/>
          <w:sz w:val="24"/>
          <w:szCs w:val="24"/>
        </w:rPr>
        <w:t xml:space="preserve">laisse </w:t>
      </w:r>
      <w:r w:rsidR="00906392">
        <w:rPr>
          <w:rFonts w:ascii="Times New Roman" w:hAnsi="Times New Roman" w:cs="Times New Roman"/>
          <w:sz w:val="24"/>
          <w:szCs w:val="24"/>
        </w:rPr>
        <w:t xml:space="preserve">comprendre </w:t>
      </w:r>
      <w:r w:rsidRPr="00695693">
        <w:rPr>
          <w:rFonts w:ascii="Times New Roman" w:hAnsi="Times New Roman" w:cs="Times New Roman"/>
          <w:sz w:val="24"/>
          <w:szCs w:val="24"/>
        </w:rPr>
        <w:t>qu</w:t>
      </w:r>
      <w:r w:rsidR="00184080">
        <w:rPr>
          <w:rFonts w:ascii="Times New Roman" w:hAnsi="Times New Roman" w:cs="Times New Roman"/>
          <w:sz w:val="24"/>
          <w:szCs w:val="24"/>
        </w:rPr>
        <w:t>’aucun te</w:t>
      </w:r>
      <w:r w:rsidR="00A17A2C">
        <w:rPr>
          <w:rFonts w:ascii="Times New Roman" w:hAnsi="Times New Roman" w:cs="Times New Roman"/>
          <w:sz w:val="24"/>
          <w:szCs w:val="24"/>
        </w:rPr>
        <w:t>xte communautaire n’échappe</w:t>
      </w:r>
      <w:r w:rsidR="00184080">
        <w:rPr>
          <w:rFonts w:ascii="Times New Roman" w:hAnsi="Times New Roman" w:cs="Times New Roman"/>
          <w:sz w:val="24"/>
          <w:szCs w:val="24"/>
        </w:rPr>
        <w:t xml:space="preserve"> à l’emprise d’une appréciation préjudicielle, qu’il relève </w:t>
      </w:r>
      <w:r w:rsidRPr="00695693">
        <w:rPr>
          <w:rFonts w:ascii="Times New Roman" w:hAnsi="Times New Roman" w:cs="Times New Roman"/>
          <w:sz w:val="24"/>
          <w:szCs w:val="24"/>
        </w:rPr>
        <w:t xml:space="preserve"> des normes du droit communautaire originaire </w:t>
      </w:r>
      <w:r w:rsidRPr="00375FD1">
        <w:rPr>
          <w:rFonts w:ascii="Times New Roman" w:hAnsi="Times New Roman" w:cs="Times New Roman"/>
          <w:b/>
          <w:sz w:val="24"/>
          <w:szCs w:val="24"/>
        </w:rPr>
        <w:t>(</w:t>
      </w:r>
      <w:r w:rsidR="003E52AC" w:rsidRPr="00375FD1">
        <w:rPr>
          <w:rFonts w:ascii="Times New Roman" w:hAnsi="Times New Roman" w:cs="Times New Roman"/>
          <w:b/>
          <w:sz w:val="24"/>
          <w:szCs w:val="24"/>
        </w:rPr>
        <w:t>§ 1</w:t>
      </w:r>
      <w:r w:rsidRPr="00375FD1">
        <w:rPr>
          <w:rFonts w:ascii="Times New Roman" w:hAnsi="Times New Roman" w:cs="Times New Roman"/>
          <w:b/>
          <w:sz w:val="24"/>
          <w:szCs w:val="24"/>
        </w:rPr>
        <w:t>)</w:t>
      </w:r>
      <w:r w:rsidR="00184080">
        <w:rPr>
          <w:rFonts w:ascii="Times New Roman" w:hAnsi="Times New Roman" w:cs="Times New Roman"/>
          <w:sz w:val="24"/>
          <w:szCs w:val="24"/>
        </w:rPr>
        <w:t xml:space="preserve"> ou</w:t>
      </w:r>
      <w:r w:rsidRPr="00695693">
        <w:rPr>
          <w:rFonts w:ascii="Times New Roman" w:hAnsi="Times New Roman" w:cs="Times New Roman"/>
          <w:sz w:val="24"/>
          <w:szCs w:val="24"/>
        </w:rPr>
        <w:t xml:space="preserve"> des normes du droit communautaire dérivé </w:t>
      </w:r>
      <w:r w:rsidRPr="00375FD1">
        <w:rPr>
          <w:rFonts w:ascii="Times New Roman" w:hAnsi="Times New Roman" w:cs="Times New Roman"/>
          <w:b/>
          <w:sz w:val="24"/>
          <w:szCs w:val="24"/>
        </w:rPr>
        <w:t>(</w:t>
      </w:r>
      <w:r w:rsidR="003E52AC" w:rsidRPr="00375FD1">
        <w:rPr>
          <w:rFonts w:ascii="Times New Roman" w:hAnsi="Times New Roman" w:cs="Times New Roman"/>
          <w:b/>
          <w:sz w:val="24"/>
          <w:szCs w:val="24"/>
        </w:rPr>
        <w:t>§ 2</w:t>
      </w:r>
      <w:r w:rsidR="00375FD1" w:rsidRPr="00375FD1">
        <w:rPr>
          <w:rFonts w:ascii="Times New Roman" w:hAnsi="Times New Roman" w:cs="Times New Roman"/>
          <w:b/>
          <w:sz w:val="24"/>
          <w:szCs w:val="24"/>
        </w:rPr>
        <w:t>)</w:t>
      </w:r>
      <w:r w:rsidR="00375FD1">
        <w:rPr>
          <w:rFonts w:ascii="Times New Roman" w:hAnsi="Times New Roman" w:cs="Times New Roman"/>
          <w:b/>
          <w:sz w:val="24"/>
          <w:szCs w:val="24"/>
        </w:rPr>
        <w:t>.</w:t>
      </w:r>
    </w:p>
    <w:p w:rsidR="00694424" w:rsidRPr="00802E04" w:rsidRDefault="0041608B" w:rsidP="002F7CA3">
      <w:pPr>
        <w:pStyle w:val="Titre4"/>
      </w:pPr>
      <w:bookmarkStart w:id="23" w:name="_Toc518672780"/>
      <w:r w:rsidRPr="00802E04">
        <w:t>§ 1</w:t>
      </w:r>
      <w:r w:rsidR="00694424" w:rsidRPr="00802E04">
        <w:t> : les normes du droit communautaire originaire</w:t>
      </w:r>
      <w:bookmarkEnd w:id="23"/>
    </w:p>
    <w:p w:rsidR="00277BE9"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Les normes communautaires originaires, également appelées normes du droit primaire, sont constituées par le Traité de base et les actes assimilés qui définissent </w:t>
      </w:r>
      <w:r w:rsidR="000A4037" w:rsidRPr="00695693">
        <w:rPr>
          <w:rFonts w:ascii="Times New Roman" w:hAnsi="Times New Roman" w:cs="Times New Roman"/>
          <w:sz w:val="24"/>
          <w:szCs w:val="24"/>
        </w:rPr>
        <w:t>l’organisation et le fonctionnement de l’organisation  communautaire.</w:t>
      </w:r>
      <w:r w:rsidRPr="00695693">
        <w:rPr>
          <w:rFonts w:ascii="Times New Roman" w:hAnsi="Times New Roman" w:cs="Times New Roman"/>
          <w:sz w:val="24"/>
          <w:szCs w:val="24"/>
        </w:rPr>
        <w:t>Ces normes</w:t>
      </w:r>
      <w:r w:rsidR="001267FB">
        <w:rPr>
          <w:rFonts w:ascii="Times New Roman" w:hAnsi="Times New Roman" w:cs="Times New Roman"/>
          <w:sz w:val="24"/>
          <w:szCs w:val="24"/>
        </w:rPr>
        <w:t xml:space="preserve">sont seulement susceptibles d’un renvoi pour interprétation et non pour appréciation de la validité. Elles </w:t>
      </w:r>
      <w:r w:rsidR="000A4037" w:rsidRPr="00695693">
        <w:rPr>
          <w:rFonts w:ascii="Times New Roman" w:hAnsi="Times New Roman" w:cs="Times New Roman"/>
          <w:sz w:val="24"/>
          <w:szCs w:val="24"/>
        </w:rPr>
        <w:t>regroupent</w:t>
      </w:r>
      <w:r w:rsidR="00D47A99">
        <w:rPr>
          <w:rFonts w:ascii="Times New Roman" w:hAnsi="Times New Roman" w:cs="Times New Roman"/>
          <w:sz w:val="24"/>
          <w:szCs w:val="24"/>
        </w:rPr>
        <w:t xml:space="preserve">à la fois </w:t>
      </w:r>
      <w:r w:rsidRPr="00695693">
        <w:rPr>
          <w:rFonts w:ascii="Times New Roman" w:hAnsi="Times New Roman" w:cs="Times New Roman"/>
          <w:sz w:val="24"/>
          <w:szCs w:val="24"/>
        </w:rPr>
        <w:t xml:space="preserve">le Traité fondateur </w:t>
      </w:r>
      <w:r w:rsidR="007902BF" w:rsidRPr="00D47A99">
        <w:rPr>
          <w:rFonts w:ascii="Times New Roman" w:hAnsi="Times New Roman" w:cs="Times New Roman"/>
          <w:b/>
          <w:sz w:val="24"/>
          <w:szCs w:val="24"/>
        </w:rPr>
        <w:t>(A)</w:t>
      </w:r>
      <w:r w:rsidR="000A4037" w:rsidRPr="00695693">
        <w:rPr>
          <w:rFonts w:ascii="Times New Roman" w:hAnsi="Times New Roman" w:cs="Times New Roman"/>
          <w:sz w:val="24"/>
          <w:szCs w:val="24"/>
        </w:rPr>
        <w:t>,</w:t>
      </w:r>
      <w:r w:rsidR="00D47A99">
        <w:rPr>
          <w:rFonts w:ascii="Times New Roman" w:hAnsi="Times New Roman" w:cs="Times New Roman"/>
          <w:sz w:val="24"/>
          <w:szCs w:val="24"/>
        </w:rPr>
        <w:t xml:space="preserve">et </w:t>
      </w:r>
      <w:r w:rsidRPr="00695693">
        <w:rPr>
          <w:rFonts w:ascii="Times New Roman" w:hAnsi="Times New Roman" w:cs="Times New Roman"/>
          <w:sz w:val="24"/>
          <w:szCs w:val="24"/>
        </w:rPr>
        <w:t xml:space="preserve">les </w:t>
      </w:r>
      <w:r w:rsidR="000A4037" w:rsidRPr="00695693">
        <w:rPr>
          <w:rFonts w:ascii="Times New Roman" w:hAnsi="Times New Roman" w:cs="Times New Roman"/>
          <w:sz w:val="24"/>
          <w:szCs w:val="24"/>
        </w:rPr>
        <w:t xml:space="preserve">normes </w:t>
      </w:r>
      <w:r w:rsidRPr="00695693">
        <w:rPr>
          <w:rFonts w:ascii="Times New Roman" w:hAnsi="Times New Roman" w:cs="Times New Roman"/>
          <w:sz w:val="24"/>
          <w:szCs w:val="24"/>
        </w:rPr>
        <w:t>annexé</w:t>
      </w:r>
      <w:r w:rsidR="000A4037" w:rsidRPr="00695693">
        <w:rPr>
          <w:rFonts w:ascii="Times New Roman" w:hAnsi="Times New Roman" w:cs="Times New Roman"/>
          <w:sz w:val="24"/>
          <w:szCs w:val="24"/>
        </w:rPr>
        <w:t>e</w:t>
      </w:r>
      <w:r w:rsidRPr="00695693">
        <w:rPr>
          <w:rFonts w:ascii="Times New Roman" w:hAnsi="Times New Roman" w:cs="Times New Roman"/>
          <w:sz w:val="24"/>
          <w:szCs w:val="24"/>
        </w:rPr>
        <w:t xml:space="preserve">s à ce </w:t>
      </w:r>
      <w:r w:rsidR="00D47A99">
        <w:rPr>
          <w:rFonts w:ascii="Times New Roman" w:hAnsi="Times New Roman" w:cs="Times New Roman"/>
          <w:sz w:val="24"/>
          <w:szCs w:val="24"/>
        </w:rPr>
        <w:t xml:space="preserve">dernier </w:t>
      </w:r>
      <w:r w:rsidR="00D47A99" w:rsidRPr="00D47A99">
        <w:rPr>
          <w:rFonts w:ascii="Times New Roman" w:hAnsi="Times New Roman" w:cs="Times New Roman"/>
          <w:b/>
          <w:sz w:val="24"/>
          <w:szCs w:val="24"/>
        </w:rPr>
        <w:t>(B)</w:t>
      </w:r>
      <w:r w:rsidR="00D47A99">
        <w:rPr>
          <w:rFonts w:ascii="Times New Roman" w:hAnsi="Times New Roman" w:cs="Times New Roman"/>
          <w:b/>
          <w:sz w:val="24"/>
          <w:szCs w:val="24"/>
        </w:rPr>
        <w:t>.</w:t>
      </w:r>
    </w:p>
    <w:p w:rsidR="00694424" w:rsidRPr="00802E04" w:rsidRDefault="00694424" w:rsidP="0037430F">
      <w:pPr>
        <w:pStyle w:val="Titre5"/>
      </w:pPr>
      <w:bookmarkStart w:id="24" w:name="_Toc518672781"/>
      <w:r w:rsidRPr="00802E04">
        <w:t>A.  Le Traité fondateur</w:t>
      </w:r>
      <w:bookmarkEnd w:id="24"/>
    </w:p>
    <w:p w:rsidR="004758AC" w:rsidRPr="00695693" w:rsidRDefault="001C0ABD" w:rsidP="00695693">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Le </w:t>
      </w:r>
      <w:r w:rsidR="00783A38">
        <w:rPr>
          <w:rFonts w:ascii="Times New Roman" w:hAnsi="Times New Roman" w:cs="Times New Roman"/>
          <w:sz w:val="24"/>
          <w:szCs w:val="24"/>
        </w:rPr>
        <w:t>Traité fondateur</w:t>
      </w:r>
      <w:r>
        <w:rPr>
          <w:rFonts w:ascii="Times New Roman" w:hAnsi="Times New Roman" w:cs="Times New Roman"/>
          <w:sz w:val="24"/>
          <w:szCs w:val="24"/>
        </w:rPr>
        <w:t xml:space="preserve"> peut être entendu comme </w:t>
      </w:r>
      <w:r w:rsidR="00694424" w:rsidRPr="00695693">
        <w:rPr>
          <w:rFonts w:ascii="Times New Roman" w:hAnsi="Times New Roman" w:cs="Times New Roman"/>
          <w:sz w:val="24"/>
          <w:szCs w:val="24"/>
        </w:rPr>
        <w:t xml:space="preserve">le Traité qui fonde l’organisation d’intégration. </w:t>
      </w:r>
      <w:r w:rsidR="00D73295" w:rsidRPr="00695693">
        <w:rPr>
          <w:rFonts w:ascii="Times New Roman" w:hAnsi="Times New Roman" w:cs="Times New Roman"/>
          <w:sz w:val="24"/>
          <w:szCs w:val="24"/>
        </w:rPr>
        <w:t xml:space="preserve">Il </w:t>
      </w:r>
      <w:r w:rsidR="00694424" w:rsidRPr="00695693">
        <w:rPr>
          <w:rFonts w:ascii="Times New Roman" w:hAnsi="Times New Roman" w:cs="Times New Roman"/>
          <w:sz w:val="24"/>
          <w:szCs w:val="24"/>
        </w:rPr>
        <w:t>peut revêtir plusieurs dénominations et a de surcroit un caractère multilatéral, parce qu’il est conclu entre plusieurs parties contractantes. Quel que soit la dénomination retenue</w:t>
      </w:r>
      <w:r w:rsidR="00694424" w:rsidRPr="00695693">
        <w:rPr>
          <w:rStyle w:val="Appelnotedebasdep"/>
          <w:rFonts w:ascii="Times New Roman" w:hAnsi="Times New Roman" w:cs="Times New Roman"/>
          <w:sz w:val="24"/>
          <w:szCs w:val="24"/>
        </w:rPr>
        <w:footnoteReference w:id="49"/>
      </w:r>
      <w:r w:rsidR="00694424" w:rsidRPr="00695693">
        <w:rPr>
          <w:rFonts w:ascii="Times New Roman" w:hAnsi="Times New Roman" w:cs="Times New Roman"/>
          <w:sz w:val="24"/>
          <w:szCs w:val="24"/>
        </w:rPr>
        <w:t xml:space="preserve"> (Traité </w:t>
      </w:r>
      <w:r w:rsidR="00694424" w:rsidRPr="00695693">
        <w:rPr>
          <w:rFonts w:ascii="Times New Roman" w:hAnsi="Times New Roman" w:cs="Times New Roman"/>
          <w:sz w:val="24"/>
          <w:szCs w:val="24"/>
        </w:rPr>
        <w:lastRenderedPageBreak/>
        <w:t>fondateur, Traité constitutif, Traité de base, Protocole, etc.), le caractère multilatéral est la forme habituelle du Traité fondateur de toute organisation d’intégration. C’est ce qu’exprime la C</w:t>
      </w:r>
      <w:r w:rsidR="00B86517" w:rsidRPr="00695693">
        <w:rPr>
          <w:rFonts w:ascii="Times New Roman" w:hAnsi="Times New Roman" w:cs="Times New Roman"/>
          <w:sz w:val="24"/>
          <w:szCs w:val="24"/>
        </w:rPr>
        <w:t>our internationale de justice (C</w:t>
      </w:r>
      <w:r w:rsidR="00694424" w:rsidRPr="00695693">
        <w:rPr>
          <w:rFonts w:ascii="Times New Roman" w:hAnsi="Times New Roman" w:cs="Times New Roman"/>
          <w:sz w:val="24"/>
          <w:szCs w:val="24"/>
        </w:rPr>
        <w:t>IJ</w:t>
      </w:r>
      <w:r w:rsidR="00FE3F35" w:rsidRPr="00695693">
        <w:rPr>
          <w:rFonts w:ascii="Times New Roman" w:hAnsi="Times New Roman" w:cs="Times New Roman"/>
          <w:sz w:val="24"/>
          <w:szCs w:val="24"/>
        </w:rPr>
        <w:t>)</w:t>
      </w:r>
      <w:r w:rsidR="00694424" w:rsidRPr="00695693">
        <w:rPr>
          <w:rFonts w:ascii="Times New Roman" w:hAnsi="Times New Roman" w:cs="Times New Roman"/>
          <w:sz w:val="24"/>
          <w:szCs w:val="24"/>
        </w:rPr>
        <w:t xml:space="preserve"> dans son Avis consultatif du 20 juillet 1962. En l’espèce, la Cour n’a </w:t>
      </w:r>
      <w:r w:rsidR="00D720A4" w:rsidRPr="00695693">
        <w:rPr>
          <w:rFonts w:ascii="Times New Roman" w:hAnsi="Times New Roman" w:cs="Times New Roman"/>
          <w:sz w:val="24"/>
          <w:szCs w:val="24"/>
        </w:rPr>
        <w:t xml:space="preserve">pas </w:t>
      </w:r>
      <w:r w:rsidR="00694424" w:rsidRPr="00695693">
        <w:rPr>
          <w:rFonts w:ascii="Times New Roman" w:hAnsi="Times New Roman" w:cs="Times New Roman"/>
          <w:sz w:val="24"/>
          <w:szCs w:val="24"/>
        </w:rPr>
        <w:t>manqué de noter que, toute organisation d’intégration est prévue par un Traité multilatéral qui « </w:t>
      </w:r>
      <w:r w:rsidR="00694424" w:rsidRPr="00695693">
        <w:rPr>
          <w:rFonts w:ascii="Times New Roman" w:hAnsi="Times New Roman" w:cs="Times New Roman"/>
          <w:i/>
          <w:sz w:val="24"/>
          <w:szCs w:val="24"/>
        </w:rPr>
        <w:t>présente des caractéristiquesspéciales</w:t>
      </w:r>
      <w:r w:rsidR="00694424" w:rsidRPr="00695693">
        <w:rPr>
          <w:rFonts w:ascii="Times New Roman" w:hAnsi="Times New Roman" w:cs="Times New Roman"/>
          <w:sz w:val="24"/>
          <w:szCs w:val="24"/>
        </w:rPr>
        <w:t> »</w:t>
      </w:r>
      <w:r w:rsidR="00B759ED">
        <w:rPr>
          <w:rStyle w:val="Appelnotedebasdep"/>
          <w:rFonts w:ascii="Times New Roman" w:hAnsi="Times New Roman" w:cs="Times New Roman"/>
          <w:sz w:val="24"/>
          <w:szCs w:val="24"/>
        </w:rPr>
        <w:footnoteReference w:id="50"/>
      </w:r>
      <w:r w:rsidR="00694424" w:rsidRPr="00695693">
        <w:rPr>
          <w:rFonts w:ascii="Times New Roman" w:hAnsi="Times New Roman" w:cs="Times New Roman"/>
          <w:sz w:val="24"/>
          <w:szCs w:val="24"/>
        </w:rPr>
        <w:t>.</w:t>
      </w:r>
    </w:p>
    <w:p w:rsidR="00912E0D"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La CEDEAO n’échappe pas à cette exigence fondamentale. Son Traité de base, actuellement le Traité révisé du 24 juillet 1993</w:t>
      </w:r>
      <w:r w:rsidR="001A7AE2" w:rsidRPr="00695693">
        <w:rPr>
          <w:rFonts w:ascii="Times New Roman" w:hAnsi="Times New Roman" w:cs="Times New Roman"/>
          <w:sz w:val="24"/>
          <w:szCs w:val="24"/>
        </w:rPr>
        <w:t>, alors même qu’il a un caractère multilatéral</w:t>
      </w:r>
      <w:r w:rsidRPr="00695693">
        <w:rPr>
          <w:rFonts w:ascii="Times New Roman" w:hAnsi="Times New Roman" w:cs="Times New Roman"/>
          <w:sz w:val="24"/>
          <w:szCs w:val="24"/>
        </w:rPr>
        <w:t xml:space="preserve">, n’est pas exclu </w:t>
      </w:r>
      <w:r w:rsidR="009F525D">
        <w:rPr>
          <w:rFonts w:ascii="Times New Roman" w:hAnsi="Times New Roman" w:cs="Times New Roman"/>
          <w:sz w:val="24"/>
          <w:szCs w:val="24"/>
        </w:rPr>
        <w:t>du champ d’intervention du</w:t>
      </w:r>
      <w:r w:rsidRPr="00695693">
        <w:rPr>
          <w:rFonts w:ascii="Times New Roman" w:hAnsi="Times New Roman" w:cs="Times New Roman"/>
          <w:sz w:val="24"/>
          <w:szCs w:val="24"/>
        </w:rPr>
        <w:t xml:space="preserve"> recours préjudiciel devant la Cour de justice de la CEDEAO</w:t>
      </w:r>
      <w:r w:rsidRPr="00695693">
        <w:rPr>
          <w:rStyle w:val="Appelnotedebasdep"/>
          <w:rFonts w:ascii="Times New Roman" w:hAnsi="Times New Roman" w:cs="Times New Roman"/>
          <w:sz w:val="24"/>
          <w:szCs w:val="24"/>
        </w:rPr>
        <w:footnoteReference w:id="51"/>
      </w:r>
      <w:r w:rsidRPr="00695693">
        <w:rPr>
          <w:rFonts w:ascii="Times New Roman" w:hAnsi="Times New Roman" w:cs="Times New Roman"/>
          <w:sz w:val="24"/>
          <w:szCs w:val="24"/>
        </w:rPr>
        <w:t>, toutes les fois que son application au cours d’un procès  ouvert devant le juge national se prête</w:t>
      </w:r>
      <w:r w:rsidR="002A157E" w:rsidRPr="00695693">
        <w:rPr>
          <w:rFonts w:ascii="Times New Roman" w:hAnsi="Times New Roman" w:cs="Times New Roman"/>
          <w:sz w:val="24"/>
          <w:szCs w:val="24"/>
        </w:rPr>
        <w:t>ra</w:t>
      </w:r>
      <w:r w:rsidRPr="00695693">
        <w:rPr>
          <w:rFonts w:ascii="Times New Roman" w:hAnsi="Times New Roman" w:cs="Times New Roman"/>
          <w:sz w:val="24"/>
          <w:szCs w:val="24"/>
        </w:rPr>
        <w:t xml:space="preserve"> à un doute sérieux. Cependant, conformément à l’analyse de l’art. 10</w:t>
      </w:r>
      <w:r w:rsidR="002A157E" w:rsidRPr="00695693">
        <w:rPr>
          <w:rFonts w:ascii="Times New Roman" w:hAnsi="Times New Roman" w:cs="Times New Roman"/>
          <w:sz w:val="24"/>
          <w:szCs w:val="24"/>
        </w:rPr>
        <w:t>,</w:t>
      </w:r>
      <w:r w:rsidR="00707171" w:rsidRPr="00695693">
        <w:rPr>
          <w:rFonts w:ascii="Times New Roman" w:hAnsi="Times New Roman" w:cs="Times New Roman"/>
          <w:sz w:val="24"/>
          <w:szCs w:val="24"/>
        </w:rPr>
        <w:t xml:space="preserve"> f du Protocole d’Accra du 19 j</w:t>
      </w:r>
      <w:r w:rsidRPr="00695693">
        <w:rPr>
          <w:rFonts w:ascii="Times New Roman" w:hAnsi="Times New Roman" w:cs="Times New Roman"/>
          <w:sz w:val="24"/>
          <w:szCs w:val="24"/>
        </w:rPr>
        <w:t>anvier 2005, la question ne peut porter que sur l’interprétation du Traité et non sur l’appréciation de sa validité.</w:t>
      </w:r>
      <w:r w:rsidR="009377C9">
        <w:rPr>
          <w:rFonts w:ascii="Times New Roman" w:hAnsi="Times New Roman" w:cs="Times New Roman"/>
          <w:sz w:val="24"/>
          <w:szCs w:val="24"/>
        </w:rPr>
        <w:t xml:space="preserve"> En effet</w:t>
      </w:r>
      <w:r w:rsidRPr="00695693">
        <w:rPr>
          <w:rFonts w:ascii="Times New Roman" w:hAnsi="Times New Roman" w:cs="Times New Roman"/>
          <w:sz w:val="24"/>
          <w:szCs w:val="24"/>
        </w:rPr>
        <w:t>,  la validité du Traité fondateur éch</w:t>
      </w:r>
      <w:r w:rsidR="00707171" w:rsidRPr="00695693">
        <w:rPr>
          <w:rFonts w:ascii="Times New Roman" w:hAnsi="Times New Roman" w:cs="Times New Roman"/>
          <w:sz w:val="24"/>
          <w:szCs w:val="24"/>
        </w:rPr>
        <w:t>appe au contrôle de la Cour de j</w:t>
      </w:r>
      <w:r w:rsidRPr="00695693">
        <w:rPr>
          <w:rFonts w:ascii="Times New Roman" w:hAnsi="Times New Roman" w:cs="Times New Roman"/>
          <w:sz w:val="24"/>
          <w:szCs w:val="24"/>
        </w:rPr>
        <w:t>ustice communautaire</w:t>
      </w:r>
      <w:r w:rsidRPr="00695693">
        <w:rPr>
          <w:rStyle w:val="Appelnotedebasdep"/>
          <w:rFonts w:ascii="Times New Roman" w:hAnsi="Times New Roman" w:cs="Times New Roman"/>
          <w:sz w:val="24"/>
          <w:szCs w:val="24"/>
        </w:rPr>
        <w:footnoteReference w:id="52"/>
      </w:r>
      <w:r w:rsidRPr="00695693">
        <w:rPr>
          <w:rFonts w:ascii="Times New Roman" w:hAnsi="Times New Roman" w:cs="Times New Roman"/>
          <w:sz w:val="24"/>
          <w:szCs w:val="24"/>
        </w:rPr>
        <w:t xml:space="preserve"> compte tenu du fait que celle-ci tire sa compétence de celui-ci</w:t>
      </w:r>
      <w:r w:rsidRPr="00695693">
        <w:rPr>
          <w:rStyle w:val="Appelnotedebasdep"/>
          <w:rFonts w:ascii="Times New Roman" w:hAnsi="Times New Roman" w:cs="Times New Roman"/>
          <w:sz w:val="24"/>
          <w:szCs w:val="24"/>
        </w:rPr>
        <w:footnoteReference w:id="53"/>
      </w:r>
      <w:r w:rsidRPr="00695693">
        <w:rPr>
          <w:rFonts w:ascii="Times New Roman" w:hAnsi="Times New Roman" w:cs="Times New Roman"/>
          <w:sz w:val="24"/>
          <w:szCs w:val="24"/>
        </w:rPr>
        <w:t>.</w:t>
      </w:r>
      <w:r w:rsidR="00D720A4" w:rsidRPr="00695693">
        <w:rPr>
          <w:rFonts w:ascii="Times New Roman" w:hAnsi="Times New Roman" w:cs="Times New Roman"/>
          <w:sz w:val="24"/>
          <w:szCs w:val="24"/>
        </w:rPr>
        <w:t xml:space="preserve"> Il en est de même dans le</w:t>
      </w:r>
      <w:r w:rsidR="002D35DD" w:rsidRPr="00695693">
        <w:rPr>
          <w:rFonts w:ascii="Times New Roman" w:hAnsi="Times New Roman" w:cs="Times New Roman"/>
          <w:sz w:val="24"/>
          <w:szCs w:val="24"/>
        </w:rPr>
        <w:t>s</w:t>
      </w:r>
      <w:r w:rsidR="00D720A4" w:rsidRPr="00695693">
        <w:rPr>
          <w:rFonts w:ascii="Times New Roman" w:hAnsi="Times New Roman" w:cs="Times New Roman"/>
          <w:sz w:val="24"/>
          <w:szCs w:val="24"/>
        </w:rPr>
        <w:t xml:space="preserve"> système</w:t>
      </w:r>
      <w:r w:rsidR="002D35DD" w:rsidRPr="00695693">
        <w:rPr>
          <w:rFonts w:ascii="Times New Roman" w:hAnsi="Times New Roman" w:cs="Times New Roman"/>
          <w:sz w:val="24"/>
          <w:szCs w:val="24"/>
        </w:rPr>
        <w:t>s</w:t>
      </w:r>
      <w:r w:rsidR="00D720A4" w:rsidRPr="00695693">
        <w:rPr>
          <w:rFonts w:ascii="Times New Roman" w:hAnsi="Times New Roman" w:cs="Times New Roman"/>
          <w:sz w:val="24"/>
          <w:szCs w:val="24"/>
        </w:rPr>
        <w:t xml:space="preserve"> communautaire</w:t>
      </w:r>
      <w:r w:rsidR="002D35DD" w:rsidRPr="00695693">
        <w:rPr>
          <w:rFonts w:ascii="Times New Roman" w:hAnsi="Times New Roman" w:cs="Times New Roman"/>
          <w:sz w:val="24"/>
          <w:szCs w:val="24"/>
        </w:rPr>
        <w:t>s</w:t>
      </w:r>
      <w:r w:rsidR="00D720A4" w:rsidRPr="00695693">
        <w:rPr>
          <w:rFonts w:ascii="Times New Roman" w:hAnsi="Times New Roman" w:cs="Times New Roman"/>
          <w:sz w:val="24"/>
          <w:szCs w:val="24"/>
        </w:rPr>
        <w:t xml:space="preserve"> de</w:t>
      </w:r>
      <w:r w:rsidR="005776CE" w:rsidRPr="00695693">
        <w:rPr>
          <w:rFonts w:ascii="Times New Roman" w:hAnsi="Times New Roman" w:cs="Times New Roman"/>
          <w:sz w:val="24"/>
          <w:szCs w:val="24"/>
        </w:rPr>
        <w:t xml:space="preserve"> l’UEMOA où le </w:t>
      </w:r>
      <w:r w:rsidRPr="00695693">
        <w:rPr>
          <w:rFonts w:ascii="Times New Roman" w:hAnsi="Times New Roman" w:cs="Times New Roman"/>
          <w:sz w:val="24"/>
          <w:szCs w:val="24"/>
        </w:rPr>
        <w:t>Traité de Dakar du 10 janvier 1994</w:t>
      </w:r>
      <w:r w:rsidRPr="00695693">
        <w:rPr>
          <w:rStyle w:val="Appelnotedebasdep"/>
          <w:rFonts w:ascii="Times New Roman" w:hAnsi="Times New Roman" w:cs="Times New Roman"/>
          <w:sz w:val="24"/>
          <w:szCs w:val="24"/>
        </w:rPr>
        <w:footnoteReference w:id="54"/>
      </w:r>
      <w:r w:rsidRPr="00695693">
        <w:rPr>
          <w:rFonts w:ascii="Times New Roman" w:hAnsi="Times New Roman" w:cs="Times New Roman"/>
          <w:sz w:val="24"/>
          <w:szCs w:val="24"/>
        </w:rPr>
        <w:t xml:space="preserve"> (entré en vigueur le 1</w:t>
      </w:r>
      <w:r w:rsidRPr="00695693">
        <w:rPr>
          <w:rFonts w:ascii="Times New Roman" w:hAnsi="Times New Roman" w:cs="Times New Roman"/>
          <w:sz w:val="24"/>
          <w:szCs w:val="24"/>
          <w:vertAlign w:val="superscript"/>
        </w:rPr>
        <w:t>er</w:t>
      </w:r>
      <w:r w:rsidR="002A157E" w:rsidRPr="00695693">
        <w:rPr>
          <w:rFonts w:ascii="Times New Roman" w:hAnsi="Times New Roman" w:cs="Times New Roman"/>
          <w:sz w:val="24"/>
          <w:szCs w:val="24"/>
        </w:rPr>
        <w:t>Août</w:t>
      </w:r>
      <w:r w:rsidRPr="00695693">
        <w:rPr>
          <w:rFonts w:ascii="Times New Roman" w:hAnsi="Times New Roman" w:cs="Times New Roman"/>
          <w:sz w:val="24"/>
          <w:szCs w:val="24"/>
        </w:rPr>
        <w:t xml:space="preserve"> 1994) </w:t>
      </w:r>
      <w:r w:rsidR="00B759ED">
        <w:rPr>
          <w:rFonts w:ascii="Times New Roman" w:hAnsi="Times New Roman" w:cs="Times New Roman"/>
          <w:sz w:val="24"/>
          <w:szCs w:val="24"/>
        </w:rPr>
        <w:t xml:space="preserve">ne </w:t>
      </w:r>
      <w:r w:rsidR="005776CE" w:rsidRPr="00695693">
        <w:rPr>
          <w:rFonts w:ascii="Times New Roman" w:hAnsi="Times New Roman" w:cs="Times New Roman"/>
          <w:sz w:val="24"/>
          <w:szCs w:val="24"/>
        </w:rPr>
        <w:t xml:space="preserve">pourra faire l’objet </w:t>
      </w:r>
      <w:r w:rsidR="00B759ED">
        <w:rPr>
          <w:rFonts w:ascii="Times New Roman" w:hAnsi="Times New Roman" w:cs="Times New Roman"/>
          <w:sz w:val="24"/>
          <w:szCs w:val="24"/>
        </w:rPr>
        <w:t xml:space="preserve">que </w:t>
      </w:r>
      <w:r w:rsidRPr="00695693">
        <w:rPr>
          <w:rFonts w:ascii="Times New Roman" w:hAnsi="Times New Roman" w:cs="Times New Roman"/>
          <w:sz w:val="24"/>
          <w:szCs w:val="24"/>
        </w:rPr>
        <w:t xml:space="preserve">d’un renvoi préjudiciel </w:t>
      </w:r>
      <w:r w:rsidR="00B759ED">
        <w:rPr>
          <w:rFonts w:ascii="Times New Roman" w:hAnsi="Times New Roman" w:cs="Times New Roman"/>
          <w:sz w:val="24"/>
          <w:szCs w:val="24"/>
        </w:rPr>
        <w:t xml:space="preserve">en interprétation </w:t>
      </w:r>
      <w:r w:rsidRPr="00695693">
        <w:rPr>
          <w:rFonts w:ascii="Times New Roman" w:hAnsi="Times New Roman" w:cs="Times New Roman"/>
          <w:sz w:val="24"/>
          <w:szCs w:val="24"/>
        </w:rPr>
        <w:t>devant la CJ/UEMOA</w:t>
      </w:r>
      <w:r w:rsidRPr="00695693">
        <w:rPr>
          <w:rStyle w:val="Appelnotedebasdep"/>
          <w:rFonts w:ascii="Times New Roman" w:hAnsi="Times New Roman" w:cs="Times New Roman"/>
          <w:sz w:val="24"/>
          <w:szCs w:val="24"/>
        </w:rPr>
        <w:footnoteReference w:id="55"/>
      </w:r>
      <w:r w:rsidRPr="00695693">
        <w:rPr>
          <w:rFonts w:ascii="Times New Roman" w:hAnsi="Times New Roman" w:cs="Times New Roman"/>
          <w:sz w:val="24"/>
          <w:szCs w:val="24"/>
        </w:rPr>
        <w:t> ; du COMESA</w:t>
      </w:r>
      <w:r w:rsidRPr="00695693">
        <w:rPr>
          <w:rStyle w:val="Appelnotedebasdep"/>
          <w:rFonts w:ascii="Times New Roman" w:hAnsi="Times New Roman" w:cs="Times New Roman"/>
          <w:sz w:val="24"/>
          <w:szCs w:val="24"/>
        </w:rPr>
        <w:footnoteReference w:id="56"/>
      </w:r>
      <w:r w:rsidRPr="00695693">
        <w:rPr>
          <w:rFonts w:ascii="Times New Roman" w:hAnsi="Times New Roman" w:cs="Times New Roman"/>
          <w:sz w:val="24"/>
          <w:szCs w:val="24"/>
        </w:rPr>
        <w:t xml:space="preserve">, </w:t>
      </w:r>
      <w:r w:rsidR="005776CE" w:rsidRPr="00695693">
        <w:rPr>
          <w:rFonts w:ascii="Times New Roman" w:hAnsi="Times New Roman" w:cs="Times New Roman"/>
          <w:sz w:val="24"/>
          <w:szCs w:val="24"/>
        </w:rPr>
        <w:t xml:space="preserve">à traversle </w:t>
      </w:r>
      <w:r w:rsidRPr="00695693">
        <w:rPr>
          <w:rFonts w:ascii="Times New Roman" w:hAnsi="Times New Roman" w:cs="Times New Roman"/>
          <w:sz w:val="24"/>
          <w:szCs w:val="24"/>
        </w:rPr>
        <w:t>Traité du marché commun de l’Afrique de</w:t>
      </w:r>
      <w:r w:rsidR="005776CE" w:rsidRPr="00695693">
        <w:rPr>
          <w:rFonts w:ascii="Times New Roman" w:hAnsi="Times New Roman" w:cs="Times New Roman"/>
          <w:sz w:val="24"/>
          <w:szCs w:val="24"/>
        </w:rPr>
        <w:t xml:space="preserve"> l’Est et de l’Afrique Australe ; </w:t>
      </w:r>
      <w:r w:rsidRPr="00695693">
        <w:rPr>
          <w:rFonts w:ascii="Times New Roman" w:hAnsi="Times New Roman" w:cs="Times New Roman"/>
          <w:sz w:val="24"/>
          <w:szCs w:val="24"/>
        </w:rPr>
        <w:t>de la CEMAC</w:t>
      </w:r>
      <w:r w:rsidRPr="00695693">
        <w:rPr>
          <w:rStyle w:val="Appelnotedebasdep"/>
          <w:rFonts w:ascii="Times New Roman" w:hAnsi="Times New Roman" w:cs="Times New Roman"/>
          <w:sz w:val="24"/>
          <w:szCs w:val="24"/>
        </w:rPr>
        <w:footnoteReference w:id="57"/>
      </w:r>
      <w:r w:rsidRPr="00695693">
        <w:rPr>
          <w:rFonts w:ascii="Times New Roman" w:hAnsi="Times New Roman" w:cs="Times New Roman"/>
          <w:sz w:val="24"/>
          <w:szCs w:val="24"/>
        </w:rPr>
        <w:t xml:space="preserve"> où  la Cour de justice</w:t>
      </w:r>
      <w:r w:rsidRPr="00695693">
        <w:rPr>
          <w:rStyle w:val="Appelnotedebasdep"/>
          <w:rFonts w:ascii="Times New Roman" w:hAnsi="Times New Roman" w:cs="Times New Roman"/>
          <w:sz w:val="24"/>
          <w:szCs w:val="24"/>
        </w:rPr>
        <w:footnoteReference w:id="58"/>
      </w:r>
      <w:r w:rsidRPr="00695693">
        <w:rPr>
          <w:rFonts w:ascii="Times New Roman" w:hAnsi="Times New Roman" w:cs="Times New Roman"/>
          <w:sz w:val="24"/>
          <w:szCs w:val="24"/>
        </w:rPr>
        <w:t xml:space="preserve"> a le mérite de se prononcer </w:t>
      </w:r>
      <w:r w:rsidR="009F525D">
        <w:rPr>
          <w:rFonts w:ascii="Times New Roman" w:hAnsi="Times New Roman" w:cs="Times New Roman"/>
          <w:sz w:val="24"/>
          <w:szCs w:val="24"/>
        </w:rPr>
        <w:t xml:space="preserve">que </w:t>
      </w:r>
      <w:r w:rsidRPr="00695693">
        <w:rPr>
          <w:rFonts w:ascii="Times New Roman" w:hAnsi="Times New Roman" w:cs="Times New Roman"/>
          <w:sz w:val="24"/>
          <w:szCs w:val="24"/>
        </w:rPr>
        <w:t xml:space="preserve">sur l’interprétation du Traité adopté à </w:t>
      </w:r>
      <w:r w:rsidR="00783A38" w:rsidRPr="00695693">
        <w:rPr>
          <w:rFonts w:ascii="Times New Roman" w:hAnsi="Times New Roman" w:cs="Times New Roman"/>
          <w:sz w:val="24"/>
          <w:szCs w:val="24"/>
        </w:rPr>
        <w:lastRenderedPageBreak/>
        <w:t>N</w:t>
      </w:r>
      <w:r w:rsidR="00783A38">
        <w:rPr>
          <w:rFonts w:ascii="Times New Roman" w:hAnsi="Times New Roman" w:cs="Times New Roman"/>
          <w:sz w:val="24"/>
          <w:szCs w:val="24"/>
        </w:rPr>
        <w:t>’</w:t>
      </w:r>
      <w:r w:rsidR="00783A38" w:rsidRPr="00695693">
        <w:rPr>
          <w:rFonts w:ascii="Times New Roman" w:hAnsi="Times New Roman" w:cs="Times New Roman"/>
          <w:sz w:val="24"/>
          <w:szCs w:val="24"/>
        </w:rPr>
        <w:t>Djamena</w:t>
      </w:r>
      <w:r w:rsidRPr="00695693">
        <w:rPr>
          <w:rFonts w:ascii="Times New Roman" w:hAnsi="Times New Roman" w:cs="Times New Roman"/>
          <w:sz w:val="24"/>
          <w:szCs w:val="24"/>
        </w:rPr>
        <w:t xml:space="preserve"> le 16 mars 1994  et entré en vigueur le 5 février 1998</w:t>
      </w:r>
      <w:r w:rsidRPr="00695693">
        <w:rPr>
          <w:rStyle w:val="Appelnotedebasdep"/>
          <w:rFonts w:ascii="Times New Roman" w:hAnsi="Times New Roman" w:cs="Times New Roman"/>
          <w:sz w:val="24"/>
          <w:szCs w:val="24"/>
        </w:rPr>
        <w:footnoteReference w:id="59"/>
      </w:r>
      <w:r w:rsidR="005776CE" w:rsidRPr="00695693">
        <w:rPr>
          <w:rFonts w:ascii="Times New Roman" w:hAnsi="Times New Roman" w:cs="Times New Roman"/>
          <w:sz w:val="24"/>
          <w:szCs w:val="24"/>
        </w:rPr>
        <w:t xml:space="preserve"> et</w:t>
      </w:r>
      <w:r w:rsidR="004A3AAD" w:rsidRPr="00695693">
        <w:rPr>
          <w:rFonts w:ascii="Times New Roman" w:hAnsi="Times New Roman" w:cs="Times New Roman"/>
          <w:sz w:val="24"/>
          <w:szCs w:val="24"/>
        </w:rPr>
        <w:t xml:space="preserve">de </w:t>
      </w:r>
      <w:r w:rsidR="00277BE9" w:rsidRPr="00695693">
        <w:rPr>
          <w:rFonts w:ascii="Times New Roman" w:hAnsi="Times New Roman" w:cs="Times New Roman"/>
          <w:sz w:val="24"/>
          <w:szCs w:val="24"/>
        </w:rPr>
        <w:t xml:space="preserve">l’Union européenne (UE) </w:t>
      </w:r>
      <w:r w:rsidR="005776CE" w:rsidRPr="00695693">
        <w:rPr>
          <w:rFonts w:ascii="Times New Roman" w:hAnsi="Times New Roman" w:cs="Times New Roman"/>
          <w:sz w:val="24"/>
          <w:szCs w:val="24"/>
        </w:rPr>
        <w:t xml:space="preserve">conformément à la logique de l’art. </w:t>
      </w:r>
      <w:r w:rsidR="005F5A86">
        <w:rPr>
          <w:rFonts w:ascii="Times New Roman" w:hAnsi="Times New Roman" w:cs="Times New Roman"/>
          <w:sz w:val="24"/>
          <w:szCs w:val="24"/>
        </w:rPr>
        <w:t xml:space="preserve">19, § 3 point b du TUE et de l’art. </w:t>
      </w:r>
      <w:r w:rsidR="005776CE" w:rsidRPr="00695693">
        <w:rPr>
          <w:rFonts w:ascii="Times New Roman" w:hAnsi="Times New Roman" w:cs="Times New Roman"/>
          <w:sz w:val="24"/>
          <w:szCs w:val="24"/>
        </w:rPr>
        <w:t xml:space="preserve">267 </w:t>
      </w:r>
      <w:r w:rsidR="008F35B7">
        <w:rPr>
          <w:rFonts w:ascii="Times New Roman" w:hAnsi="Times New Roman" w:cs="Times New Roman"/>
          <w:sz w:val="24"/>
          <w:szCs w:val="24"/>
        </w:rPr>
        <w:t>du T</w:t>
      </w:r>
      <w:r w:rsidRPr="00695693">
        <w:rPr>
          <w:rFonts w:ascii="Times New Roman" w:hAnsi="Times New Roman" w:cs="Times New Roman"/>
          <w:sz w:val="24"/>
          <w:szCs w:val="24"/>
        </w:rPr>
        <w:t>FUE.</w:t>
      </w:r>
      <w:r w:rsidR="004758AC" w:rsidRPr="00695693">
        <w:rPr>
          <w:rFonts w:ascii="Times New Roman" w:hAnsi="Times New Roman" w:cs="Times New Roman"/>
          <w:sz w:val="24"/>
          <w:szCs w:val="24"/>
        </w:rPr>
        <w:t xml:space="preserve"> Cependant, il importe de retenir </w:t>
      </w:r>
      <w:r w:rsidR="00257DAF">
        <w:rPr>
          <w:rFonts w:ascii="Times New Roman" w:hAnsi="Times New Roman" w:cs="Times New Roman"/>
          <w:sz w:val="24"/>
          <w:szCs w:val="24"/>
        </w:rPr>
        <w:t>que l’objectif principal de la seule possibilité d’</w:t>
      </w:r>
      <w:r w:rsidR="003C2FE4">
        <w:rPr>
          <w:rFonts w:ascii="Times New Roman" w:hAnsi="Times New Roman" w:cs="Times New Roman"/>
          <w:sz w:val="24"/>
          <w:szCs w:val="24"/>
        </w:rPr>
        <w:t>interprétation du texte fondateur</w:t>
      </w:r>
      <w:r w:rsidR="00257DAF">
        <w:rPr>
          <w:rFonts w:ascii="Times New Roman" w:hAnsi="Times New Roman" w:cs="Times New Roman"/>
          <w:sz w:val="24"/>
          <w:szCs w:val="24"/>
        </w:rPr>
        <w:t xml:space="preserve"> est de s’assurer qu’il</w:t>
      </w:r>
      <w:r w:rsidR="003C2FE4">
        <w:rPr>
          <w:rFonts w:ascii="Times New Roman" w:hAnsi="Times New Roman" w:cs="Times New Roman"/>
          <w:sz w:val="24"/>
          <w:szCs w:val="24"/>
        </w:rPr>
        <w:t xml:space="preserve"> ne soi</w:t>
      </w:r>
      <w:r w:rsidR="00257DAF">
        <w:rPr>
          <w:rFonts w:ascii="Times New Roman" w:hAnsi="Times New Roman" w:cs="Times New Roman"/>
          <w:sz w:val="24"/>
          <w:szCs w:val="24"/>
        </w:rPr>
        <w:t>t l’objet d’une remise en question par le juge dans le cadre d’une appréciation de validité</w:t>
      </w:r>
      <w:r w:rsidR="003C2FE4">
        <w:rPr>
          <w:rFonts w:ascii="Times New Roman" w:hAnsi="Times New Roman" w:cs="Times New Roman"/>
          <w:sz w:val="24"/>
          <w:szCs w:val="24"/>
        </w:rPr>
        <w:t xml:space="preserve">. La CJCE considère que </w:t>
      </w:r>
      <w:r w:rsidRPr="00695693">
        <w:rPr>
          <w:rFonts w:ascii="Times New Roman" w:hAnsi="Times New Roman" w:cs="Times New Roman"/>
          <w:sz w:val="24"/>
          <w:szCs w:val="24"/>
        </w:rPr>
        <w:t>ce Traité doit être respecté parce qu’il fixe « </w:t>
      </w:r>
      <w:r w:rsidRPr="00695693">
        <w:rPr>
          <w:rFonts w:ascii="Times New Roman" w:hAnsi="Times New Roman" w:cs="Times New Roman"/>
          <w:i/>
          <w:sz w:val="24"/>
          <w:szCs w:val="24"/>
        </w:rPr>
        <w:t>les objectifs fondamentaux de la communauté</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60"/>
      </w:r>
      <w:r w:rsidRPr="00695693">
        <w:rPr>
          <w:rFonts w:ascii="Times New Roman" w:hAnsi="Times New Roman" w:cs="Times New Roman"/>
          <w:sz w:val="24"/>
          <w:szCs w:val="24"/>
        </w:rPr>
        <w:t>. En plus du préambule, ce Traité est composé des clauses institutionnelles</w:t>
      </w:r>
      <w:r w:rsidRPr="00695693">
        <w:rPr>
          <w:rStyle w:val="Appelnotedebasdep"/>
          <w:rFonts w:ascii="Times New Roman" w:hAnsi="Times New Roman" w:cs="Times New Roman"/>
          <w:sz w:val="24"/>
          <w:szCs w:val="24"/>
        </w:rPr>
        <w:footnoteReference w:id="61"/>
      </w:r>
      <w:r w:rsidRPr="00695693">
        <w:rPr>
          <w:rFonts w:ascii="Times New Roman" w:hAnsi="Times New Roman" w:cs="Times New Roman"/>
          <w:sz w:val="24"/>
          <w:szCs w:val="24"/>
        </w:rPr>
        <w:t>, des clauses matérielles</w:t>
      </w:r>
      <w:r w:rsidRPr="00695693">
        <w:rPr>
          <w:rStyle w:val="Appelnotedebasdep"/>
          <w:rFonts w:ascii="Times New Roman" w:hAnsi="Times New Roman" w:cs="Times New Roman"/>
          <w:sz w:val="24"/>
          <w:szCs w:val="24"/>
        </w:rPr>
        <w:footnoteReference w:id="62"/>
      </w:r>
      <w:r w:rsidRPr="00695693">
        <w:rPr>
          <w:rFonts w:ascii="Times New Roman" w:hAnsi="Times New Roman" w:cs="Times New Roman"/>
          <w:sz w:val="24"/>
          <w:szCs w:val="24"/>
        </w:rPr>
        <w:t xml:space="preserve"> et des clauses finales</w:t>
      </w:r>
      <w:r w:rsidR="003A2198" w:rsidRPr="00695693">
        <w:rPr>
          <w:rStyle w:val="Appelnotedebasdep"/>
          <w:rFonts w:ascii="Times New Roman" w:hAnsi="Times New Roman" w:cs="Times New Roman"/>
          <w:sz w:val="24"/>
          <w:szCs w:val="24"/>
        </w:rPr>
        <w:footnoteReference w:id="63"/>
      </w:r>
      <w:r w:rsidRPr="00695693">
        <w:rPr>
          <w:rFonts w:ascii="Times New Roman" w:hAnsi="Times New Roman" w:cs="Times New Roman"/>
          <w:sz w:val="24"/>
          <w:szCs w:val="24"/>
        </w:rPr>
        <w:t>. Tous ces éléments peuvent se regrouper en préambule et dispositif.  La technique de la question préjudicielle peut donc porter tant sur le préambule que sur le dispositif du traité constitutif. Ce dernier est alors situé au sommet de la hiérarchie des sources du droit de la communauté. C’est donc à ce titre qu’il définit « </w:t>
      </w:r>
      <w:r w:rsidRPr="00695693">
        <w:rPr>
          <w:rFonts w:ascii="Times New Roman" w:hAnsi="Times New Roman" w:cs="Times New Roman"/>
          <w:i/>
          <w:sz w:val="24"/>
          <w:szCs w:val="24"/>
        </w:rPr>
        <w:t>les grands principes relatifs au marché commun et les domaines de compétence des organisations, les institutions, les attributions et le mode de fonctionnement</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64"/>
      </w:r>
      <w:r w:rsidR="00C13A4E" w:rsidRPr="00695693">
        <w:rPr>
          <w:rFonts w:ascii="Times New Roman" w:hAnsi="Times New Roman" w:cs="Times New Roman"/>
          <w:sz w:val="24"/>
          <w:szCs w:val="24"/>
        </w:rPr>
        <w:t xml:space="preserve">. </w:t>
      </w:r>
      <w:r w:rsidRPr="00695693">
        <w:rPr>
          <w:rFonts w:ascii="Times New Roman" w:hAnsi="Times New Roman" w:cs="Times New Roman"/>
          <w:sz w:val="24"/>
          <w:szCs w:val="24"/>
        </w:rPr>
        <w:t xml:space="preserve">En tant que source primaire, ce Traité </w:t>
      </w:r>
      <w:r w:rsidR="004A3AAD" w:rsidRPr="00695693">
        <w:rPr>
          <w:rFonts w:ascii="Times New Roman" w:hAnsi="Times New Roman" w:cs="Times New Roman"/>
          <w:sz w:val="24"/>
          <w:szCs w:val="24"/>
        </w:rPr>
        <w:t>prime</w:t>
      </w:r>
      <w:r w:rsidR="002D35DD" w:rsidRPr="00695693">
        <w:rPr>
          <w:rFonts w:ascii="Times New Roman" w:hAnsi="Times New Roman" w:cs="Times New Roman"/>
          <w:sz w:val="24"/>
          <w:szCs w:val="24"/>
        </w:rPr>
        <w:t xml:space="preserve"> non seulement</w:t>
      </w:r>
      <w:r w:rsidRPr="00695693">
        <w:rPr>
          <w:rFonts w:ascii="Times New Roman" w:hAnsi="Times New Roman" w:cs="Times New Roman"/>
          <w:sz w:val="24"/>
          <w:szCs w:val="24"/>
        </w:rPr>
        <w:t>sur l’ensemble des actes des institutions communautaires</w:t>
      </w:r>
      <w:r w:rsidR="002D35DD" w:rsidRPr="00695693">
        <w:rPr>
          <w:rFonts w:ascii="Times New Roman" w:hAnsi="Times New Roman" w:cs="Times New Roman"/>
          <w:sz w:val="24"/>
          <w:szCs w:val="24"/>
        </w:rPr>
        <w:t xml:space="preserve">, mais aussi sur </w:t>
      </w:r>
      <w:r w:rsidR="003A72E4" w:rsidRPr="00695693">
        <w:rPr>
          <w:rFonts w:ascii="Times New Roman" w:hAnsi="Times New Roman" w:cs="Times New Roman"/>
          <w:sz w:val="24"/>
          <w:szCs w:val="24"/>
        </w:rPr>
        <w:t xml:space="preserve">ceux </w:t>
      </w:r>
      <w:r w:rsidR="002D35DD" w:rsidRPr="00695693">
        <w:rPr>
          <w:rFonts w:ascii="Times New Roman" w:hAnsi="Times New Roman" w:cs="Times New Roman"/>
          <w:sz w:val="24"/>
          <w:szCs w:val="24"/>
        </w:rPr>
        <w:t>des Etats membres</w:t>
      </w:r>
      <w:r w:rsidR="00DE149D" w:rsidRPr="00695693">
        <w:rPr>
          <w:rStyle w:val="Appelnotedebasdep"/>
          <w:rFonts w:ascii="Times New Roman" w:hAnsi="Times New Roman" w:cs="Times New Roman"/>
          <w:sz w:val="24"/>
          <w:szCs w:val="24"/>
        </w:rPr>
        <w:footnoteReference w:id="65"/>
      </w:r>
      <w:r w:rsidRPr="00695693">
        <w:rPr>
          <w:rFonts w:ascii="Times New Roman" w:hAnsi="Times New Roman" w:cs="Times New Roman"/>
          <w:sz w:val="24"/>
          <w:szCs w:val="24"/>
        </w:rPr>
        <w:t xml:space="preserve">. </w:t>
      </w:r>
    </w:p>
    <w:p w:rsidR="009362D7" w:rsidRDefault="00D73295"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Toutefois, </w:t>
      </w:r>
      <w:r w:rsidR="00DA33DE" w:rsidRPr="00695693">
        <w:rPr>
          <w:rFonts w:ascii="Times New Roman" w:hAnsi="Times New Roman" w:cs="Times New Roman"/>
          <w:sz w:val="24"/>
          <w:szCs w:val="24"/>
        </w:rPr>
        <w:t>le</w:t>
      </w:r>
      <w:r w:rsidR="00694424" w:rsidRPr="00695693">
        <w:rPr>
          <w:rFonts w:ascii="Times New Roman" w:hAnsi="Times New Roman" w:cs="Times New Roman"/>
          <w:sz w:val="24"/>
          <w:szCs w:val="24"/>
        </w:rPr>
        <w:t xml:space="preserve"> Traité </w:t>
      </w:r>
      <w:r w:rsidR="00DA33DE" w:rsidRPr="00695693">
        <w:rPr>
          <w:rFonts w:ascii="Times New Roman" w:hAnsi="Times New Roman" w:cs="Times New Roman"/>
          <w:sz w:val="24"/>
          <w:szCs w:val="24"/>
        </w:rPr>
        <w:t xml:space="preserve">fondateur </w:t>
      </w:r>
      <w:r w:rsidR="00694424" w:rsidRPr="00695693">
        <w:rPr>
          <w:rFonts w:ascii="Times New Roman" w:hAnsi="Times New Roman" w:cs="Times New Roman"/>
          <w:sz w:val="24"/>
          <w:szCs w:val="24"/>
        </w:rPr>
        <w:t xml:space="preserve">est appelé à suivre certaines modifications en fonction des circonstances et de la pratique des Etats et des institutions  en vue d’atteindre au mieux les objectifs visés par l’organisation d’intégration : c’est l’hypothèse des </w:t>
      </w:r>
      <w:r w:rsidR="001A4418" w:rsidRPr="00695693">
        <w:rPr>
          <w:rFonts w:ascii="Times New Roman" w:hAnsi="Times New Roman" w:cs="Times New Roman"/>
          <w:sz w:val="24"/>
          <w:szCs w:val="24"/>
        </w:rPr>
        <w:t>norme</w:t>
      </w:r>
      <w:r w:rsidR="009362D7">
        <w:rPr>
          <w:rFonts w:ascii="Times New Roman" w:hAnsi="Times New Roman" w:cs="Times New Roman"/>
          <w:sz w:val="24"/>
          <w:szCs w:val="24"/>
        </w:rPr>
        <w:t>s annexées au traité fondateur.</w:t>
      </w:r>
    </w:p>
    <w:p w:rsidR="00694424" w:rsidRPr="007F5ECB" w:rsidRDefault="00694424" w:rsidP="0037430F">
      <w:pPr>
        <w:pStyle w:val="Titre5"/>
        <w:rPr>
          <w:rStyle w:val="Emphaseple"/>
          <w:b/>
          <w:iCs w:val="0"/>
        </w:rPr>
      </w:pPr>
      <w:bookmarkStart w:id="25" w:name="_Toc518672782"/>
      <w:r w:rsidRPr="007F5ECB">
        <w:rPr>
          <w:rStyle w:val="Emphaseple"/>
          <w:b/>
          <w:iCs w:val="0"/>
        </w:rPr>
        <w:t>B. Les normes annexées au Traité fondateur</w:t>
      </w:r>
      <w:bookmarkEnd w:id="25"/>
    </w:p>
    <w:p w:rsidR="001A71E5"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Par normes annexées au Traité fondateur, il faut entendre les normes destinées à </w:t>
      </w:r>
      <w:r w:rsidR="0094224C" w:rsidRPr="00695693">
        <w:rPr>
          <w:rFonts w:ascii="Times New Roman" w:hAnsi="Times New Roman" w:cs="Times New Roman"/>
          <w:sz w:val="24"/>
          <w:szCs w:val="24"/>
        </w:rPr>
        <w:t xml:space="preserve">modifier ou compléter </w:t>
      </w:r>
      <w:r w:rsidRPr="00695693">
        <w:rPr>
          <w:rFonts w:ascii="Times New Roman" w:hAnsi="Times New Roman" w:cs="Times New Roman"/>
          <w:sz w:val="24"/>
          <w:szCs w:val="24"/>
        </w:rPr>
        <w:t>le Traité de base. Elles viennent s’incorporer  à ce dernier mais ne valent que pour l’avenir et ont la même force obligatoire que le Traité constitutif lui-même.  Ces normes s</w:t>
      </w:r>
      <w:r w:rsidR="0094224C" w:rsidRPr="00695693">
        <w:rPr>
          <w:rFonts w:ascii="Times New Roman" w:hAnsi="Times New Roman" w:cs="Times New Roman"/>
          <w:sz w:val="24"/>
          <w:szCs w:val="24"/>
        </w:rPr>
        <w:t xml:space="preserve">ont entre autres : </w:t>
      </w:r>
      <w:r w:rsidRPr="00695693">
        <w:rPr>
          <w:rFonts w:ascii="Times New Roman" w:hAnsi="Times New Roman" w:cs="Times New Roman"/>
          <w:sz w:val="24"/>
          <w:szCs w:val="24"/>
        </w:rPr>
        <w:t xml:space="preserve">les protocoles </w:t>
      </w:r>
      <w:r w:rsidR="0094224C" w:rsidRPr="00695693">
        <w:rPr>
          <w:rFonts w:ascii="Times New Roman" w:hAnsi="Times New Roman" w:cs="Times New Roman"/>
          <w:sz w:val="24"/>
          <w:szCs w:val="24"/>
        </w:rPr>
        <w:t xml:space="preserve">et </w:t>
      </w:r>
      <w:r w:rsidR="001A71E5" w:rsidRPr="00695693">
        <w:rPr>
          <w:rFonts w:ascii="Times New Roman" w:hAnsi="Times New Roman" w:cs="Times New Roman"/>
          <w:sz w:val="24"/>
          <w:szCs w:val="24"/>
        </w:rPr>
        <w:t xml:space="preserve">les </w:t>
      </w:r>
      <w:r w:rsidR="0094224C" w:rsidRPr="00695693">
        <w:rPr>
          <w:rFonts w:ascii="Times New Roman" w:hAnsi="Times New Roman" w:cs="Times New Roman"/>
          <w:sz w:val="24"/>
          <w:szCs w:val="24"/>
        </w:rPr>
        <w:t xml:space="preserve">actes </w:t>
      </w:r>
      <w:r w:rsidR="001A71E5" w:rsidRPr="00695693">
        <w:rPr>
          <w:rFonts w:ascii="Times New Roman" w:hAnsi="Times New Roman" w:cs="Times New Roman"/>
          <w:sz w:val="24"/>
          <w:szCs w:val="24"/>
        </w:rPr>
        <w:t>additionnels.</w:t>
      </w:r>
    </w:p>
    <w:p w:rsidR="00B5544B" w:rsidRPr="00695693" w:rsidRDefault="00694424" w:rsidP="00695693">
      <w:pPr>
        <w:spacing w:line="360" w:lineRule="auto"/>
        <w:jc w:val="both"/>
        <w:rPr>
          <w:rFonts w:ascii="Times New Roman" w:hAnsi="Times New Roman" w:cs="Times New Roman"/>
          <w:color w:val="FF0000"/>
          <w:sz w:val="24"/>
          <w:szCs w:val="24"/>
        </w:rPr>
      </w:pPr>
      <w:r w:rsidRPr="00695693">
        <w:rPr>
          <w:rFonts w:ascii="Times New Roman" w:hAnsi="Times New Roman" w:cs="Times New Roman"/>
          <w:sz w:val="24"/>
          <w:szCs w:val="24"/>
        </w:rPr>
        <w:lastRenderedPageBreak/>
        <w:t>S’agissant des protocoles, il</w:t>
      </w:r>
      <w:r w:rsidR="001A71E5" w:rsidRPr="00695693">
        <w:rPr>
          <w:rFonts w:ascii="Times New Roman" w:hAnsi="Times New Roman" w:cs="Times New Roman"/>
          <w:sz w:val="24"/>
          <w:szCs w:val="24"/>
        </w:rPr>
        <w:t xml:space="preserve">s </w:t>
      </w:r>
      <w:r w:rsidR="00630C7D" w:rsidRPr="00695693">
        <w:rPr>
          <w:rFonts w:ascii="Times New Roman" w:hAnsi="Times New Roman" w:cs="Times New Roman"/>
          <w:sz w:val="24"/>
          <w:szCs w:val="24"/>
        </w:rPr>
        <w:t>complètent et modifient le Traité constitutif. Le professeur Abdoulaye SOMA les qualifie comme</w:t>
      </w:r>
      <w:r w:rsidR="00F801D3">
        <w:rPr>
          <w:rFonts w:ascii="Times New Roman" w:hAnsi="Times New Roman" w:cs="Times New Roman"/>
          <w:sz w:val="24"/>
          <w:szCs w:val="24"/>
        </w:rPr>
        <w:t xml:space="preserve">des traités internationaux destinés </w:t>
      </w:r>
      <w:r w:rsidRPr="00695693">
        <w:rPr>
          <w:rFonts w:ascii="Times New Roman" w:hAnsi="Times New Roman" w:cs="Times New Roman"/>
          <w:sz w:val="24"/>
          <w:szCs w:val="24"/>
        </w:rPr>
        <w:t>« </w:t>
      </w:r>
      <w:r w:rsidRPr="00695693">
        <w:rPr>
          <w:rFonts w:ascii="Times New Roman" w:hAnsi="Times New Roman" w:cs="Times New Roman"/>
          <w:i/>
          <w:sz w:val="24"/>
          <w:szCs w:val="24"/>
        </w:rPr>
        <w:t>à amender ou à compléter un autre traité, qui peut être autrement dénommé, et qui constitue un instrument principal et antérieur par rapport au protocole</w:t>
      </w:r>
      <w:r w:rsidRPr="00695693">
        <w:rPr>
          <w:rFonts w:ascii="Times New Roman" w:hAnsi="Times New Roman" w:cs="Times New Roman"/>
          <w:color w:val="FF0000"/>
          <w:sz w:val="24"/>
          <w:szCs w:val="24"/>
        </w:rPr>
        <w:t> </w:t>
      </w:r>
      <w:r w:rsidRPr="00695693">
        <w:rPr>
          <w:rFonts w:ascii="Times New Roman" w:hAnsi="Times New Roman" w:cs="Times New Roman"/>
          <w:sz w:val="24"/>
          <w:szCs w:val="24"/>
        </w:rPr>
        <w:t>»</w:t>
      </w:r>
      <w:r w:rsidRPr="00695693">
        <w:rPr>
          <w:rStyle w:val="Appelnotedebasdep"/>
          <w:rFonts w:ascii="Times New Roman" w:hAnsi="Times New Roman" w:cs="Times New Roman"/>
          <w:sz w:val="24"/>
          <w:szCs w:val="24"/>
        </w:rPr>
        <w:footnoteReference w:id="66"/>
      </w:r>
      <w:r w:rsidRPr="00695693">
        <w:rPr>
          <w:rFonts w:ascii="Times New Roman" w:hAnsi="Times New Roman" w:cs="Times New Roman"/>
          <w:sz w:val="24"/>
          <w:szCs w:val="24"/>
        </w:rPr>
        <w:t>.  Ainsi, de sa création à ce jour, la CEDEAO compte une multit</w:t>
      </w:r>
      <w:r w:rsidR="00707171" w:rsidRPr="00695693">
        <w:rPr>
          <w:rFonts w:ascii="Times New Roman" w:hAnsi="Times New Roman" w:cs="Times New Roman"/>
          <w:sz w:val="24"/>
          <w:szCs w:val="24"/>
        </w:rPr>
        <w:t>ude des protocoles additionnels susceptible</w:t>
      </w:r>
      <w:r w:rsidR="003263E1" w:rsidRPr="00695693">
        <w:rPr>
          <w:rFonts w:ascii="Times New Roman" w:hAnsi="Times New Roman" w:cs="Times New Roman"/>
          <w:sz w:val="24"/>
          <w:szCs w:val="24"/>
        </w:rPr>
        <w:t>s</w:t>
      </w:r>
      <w:r w:rsidR="00707171" w:rsidRPr="00695693">
        <w:rPr>
          <w:rFonts w:ascii="Times New Roman" w:hAnsi="Times New Roman" w:cs="Times New Roman"/>
          <w:sz w:val="24"/>
          <w:szCs w:val="24"/>
        </w:rPr>
        <w:t xml:space="preserve"> de faire l’objet d’un recours préjudiciel.</w:t>
      </w:r>
      <w:r w:rsidRPr="00695693">
        <w:rPr>
          <w:rFonts w:ascii="Times New Roman" w:hAnsi="Times New Roman" w:cs="Times New Roman"/>
          <w:sz w:val="24"/>
          <w:szCs w:val="24"/>
        </w:rPr>
        <w:t xml:space="preserve"> Sans avoir l’intention de faire un inventaire de tous ces protocoles, l’on se contentera de rappeler quelques-uns à savoir </w:t>
      </w:r>
      <w:r w:rsidR="003263E1" w:rsidRPr="00695693">
        <w:rPr>
          <w:rFonts w:ascii="Times New Roman" w:hAnsi="Times New Roman" w:cs="Times New Roman"/>
          <w:sz w:val="24"/>
          <w:szCs w:val="24"/>
        </w:rPr>
        <w:t>:</w:t>
      </w:r>
      <w:r w:rsidRPr="00695693">
        <w:rPr>
          <w:rFonts w:ascii="Times New Roman" w:hAnsi="Times New Roman" w:cs="Times New Roman"/>
          <w:sz w:val="24"/>
          <w:szCs w:val="24"/>
        </w:rPr>
        <w:t xml:space="preserve"> le protocole sur la libre circulation des personnes et des biens adopté en 1979 dont le but est de reconnaitre aux citoyens de la Communauté le droit d’entrée, de résidence et d’établissement dans les Etats membres ;  le protocole de 1991 </w:t>
      </w:r>
      <w:r w:rsidR="00AA03B2">
        <w:rPr>
          <w:rFonts w:ascii="Times New Roman" w:hAnsi="Times New Roman" w:cs="Times New Roman"/>
          <w:sz w:val="24"/>
          <w:szCs w:val="24"/>
        </w:rPr>
        <w:t xml:space="preserve">relatif à la Cour de justice de la communauté, </w:t>
      </w:r>
      <w:r w:rsidRPr="00695693">
        <w:rPr>
          <w:rFonts w:ascii="Times New Roman" w:hAnsi="Times New Roman" w:cs="Times New Roman"/>
          <w:sz w:val="24"/>
          <w:szCs w:val="24"/>
        </w:rPr>
        <w:t xml:space="preserve">amendé </w:t>
      </w:r>
      <w:r w:rsidR="003263E1" w:rsidRPr="00695693">
        <w:rPr>
          <w:rFonts w:ascii="Times New Roman" w:hAnsi="Times New Roman" w:cs="Times New Roman"/>
          <w:sz w:val="24"/>
          <w:szCs w:val="24"/>
        </w:rPr>
        <w:t>par le protocole d’Accra du 19 j</w:t>
      </w:r>
      <w:r w:rsidRPr="00695693">
        <w:rPr>
          <w:rFonts w:ascii="Times New Roman" w:hAnsi="Times New Roman" w:cs="Times New Roman"/>
          <w:sz w:val="24"/>
          <w:szCs w:val="24"/>
        </w:rPr>
        <w:t xml:space="preserve">anvier 2005 ;  </w:t>
      </w:r>
      <w:r w:rsidR="003263E1" w:rsidRPr="00695693">
        <w:rPr>
          <w:rFonts w:ascii="Times New Roman" w:hAnsi="Times New Roman" w:cs="Times New Roman"/>
          <w:sz w:val="24"/>
          <w:szCs w:val="24"/>
        </w:rPr>
        <w:t>le protocole d’Abuja du 14 j</w:t>
      </w:r>
      <w:r w:rsidRPr="00695693">
        <w:rPr>
          <w:rFonts w:ascii="Times New Roman" w:hAnsi="Times New Roman" w:cs="Times New Roman"/>
          <w:sz w:val="24"/>
          <w:szCs w:val="24"/>
        </w:rPr>
        <w:t>uin 2006 portant amendement du Traité révisé de la CEDEAO ; le protocole de 2001 sur la Dém</w:t>
      </w:r>
      <w:r w:rsidR="002B243F" w:rsidRPr="00695693">
        <w:rPr>
          <w:rFonts w:ascii="Times New Roman" w:hAnsi="Times New Roman" w:cs="Times New Roman"/>
          <w:sz w:val="24"/>
          <w:szCs w:val="24"/>
        </w:rPr>
        <w:t>ocratie et la bonne Gouvernance</w:t>
      </w:r>
      <w:r w:rsidR="00931C9A">
        <w:rPr>
          <w:rFonts w:ascii="Times New Roman" w:hAnsi="Times New Roman" w:cs="Times New Roman"/>
          <w:sz w:val="24"/>
          <w:szCs w:val="24"/>
        </w:rPr>
        <w:t> ;</w:t>
      </w:r>
      <w:r w:rsidR="00207C71">
        <w:rPr>
          <w:rFonts w:ascii="Times New Roman" w:hAnsi="Times New Roman" w:cs="Times New Roman"/>
          <w:sz w:val="24"/>
          <w:szCs w:val="24"/>
        </w:rPr>
        <w:t>le protocole</w:t>
      </w:r>
      <w:r w:rsidR="004F6561">
        <w:rPr>
          <w:rFonts w:ascii="Times New Roman" w:hAnsi="Times New Roman" w:cs="Times New Roman"/>
          <w:sz w:val="24"/>
          <w:szCs w:val="24"/>
        </w:rPr>
        <w:t xml:space="preserve"> du 29 mai 1982, signé à Cotonou et portant code de la citoyenneté de la communauté, </w:t>
      </w:r>
      <w:r w:rsidR="002B243F" w:rsidRPr="00695693">
        <w:rPr>
          <w:rFonts w:ascii="Times New Roman" w:hAnsi="Times New Roman" w:cs="Times New Roman"/>
          <w:sz w:val="24"/>
          <w:szCs w:val="24"/>
        </w:rPr>
        <w:t>etc.</w:t>
      </w:r>
    </w:p>
    <w:p w:rsidR="00B5544B" w:rsidRPr="00695693" w:rsidRDefault="00604EEB" w:rsidP="00695693">
      <w:pPr>
        <w:spacing w:line="360" w:lineRule="auto"/>
        <w:jc w:val="both"/>
        <w:rPr>
          <w:rFonts w:ascii="Times New Roman" w:hAnsi="Times New Roman" w:cs="Times New Roman"/>
          <w:color w:val="FF0000"/>
          <w:sz w:val="24"/>
          <w:szCs w:val="24"/>
        </w:rPr>
      </w:pPr>
      <w:r w:rsidRPr="00695693">
        <w:rPr>
          <w:rFonts w:ascii="Times New Roman" w:hAnsi="Times New Roman" w:cs="Times New Roman"/>
          <w:sz w:val="24"/>
          <w:szCs w:val="24"/>
        </w:rPr>
        <w:t xml:space="preserve">S’agissant </w:t>
      </w:r>
      <w:r w:rsidR="00694424" w:rsidRPr="00695693">
        <w:rPr>
          <w:rFonts w:ascii="Times New Roman" w:hAnsi="Times New Roman" w:cs="Times New Roman"/>
          <w:sz w:val="24"/>
          <w:szCs w:val="24"/>
        </w:rPr>
        <w:t>des actes additionnels, il</w:t>
      </w:r>
      <w:r w:rsidRPr="00695693">
        <w:rPr>
          <w:rFonts w:ascii="Times New Roman" w:hAnsi="Times New Roman" w:cs="Times New Roman"/>
          <w:sz w:val="24"/>
          <w:szCs w:val="24"/>
        </w:rPr>
        <w:t>s</w:t>
      </w:r>
      <w:r w:rsidR="00694424" w:rsidRPr="00695693">
        <w:rPr>
          <w:rFonts w:ascii="Times New Roman" w:hAnsi="Times New Roman" w:cs="Times New Roman"/>
          <w:sz w:val="24"/>
          <w:szCs w:val="24"/>
        </w:rPr>
        <w:t xml:space="preserve"> sont annexés au traité de base et le complètent sans toutefois le modifier</w:t>
      </w:r>
      <w:r w:rsidR="00694424" w:rsidRPr="00695693">
        <w:rPr>
          <w:rStyle w:val="Appelnotedebasdep"/>
          <w:rFonts w:ascii="Times New Roman" w:hAnsi="Times New Roman" w:cs="Times New Roman"/>
          <w:sz w:val="24"/>
          <w:szCs w:val="24"/>
        </w:rPr>
        <w:footnoteReference w:id="67"/>
      </w:r>
      <w:r w:rsidR="0031523A" w:rsidRPr="00695693">
        <w:rPr>
          <w:rFonts w:ascii="Times New Roman" w:hAnsi="Times New Roman" w:cs="Times New Roman"/>
          <w:sz w:val="24"/>
          <w:szCs w:val="24"/>
        </w:rPr>
        <w:t>. Prévu à l’article 9, § 1</w:t>
      </w:r>
      <w:r w:rsidR="00694424" w:rsidRPr="00695693">
        <w:rPr>
          <w:rFonts w:ascii="Times New Roman" w:hAnsi="Times New Roman" w:cs="Times New Roman"/>
          <w:sz w:val="24"/>
          <w:szCs w:val="24"/>
        </w:rPr>
        <w:t xml:space="preserve"> et 2 du traité CEDEAO, ces actes s’imposent aux organes de la Communauté et aux autorités des Etats membres. Ils sont donc adoptés par la CCEG en tant que de besoin. Sans procéder à leurs inventaires, on peut retenir </w:t>
      </w:r>
      <w:r w:rsidR="00B5544B" w:rsidRPr="00695693">
        <w:rPr>
          <w:rFonts w:ascii="Times New Roman" w:hAnsi="Times New Roman" w:cs="Times New Roman"/>
          <w:sz w:val="24"/>
          <w:szCs w:val="24"/>
        </w:rPr>
        <w:t>en guise d’exemples :</w:t>
      </w:r>
      <w:r w:rsidR="00BB4B0D">
        <w:rPr>
          <w:rFonts w:ascii="Times New Roman" w:hAnsi="Times New Roman" w:cs="Times New Roman"/>
          <w:sz w:val="24"/>
          <w:szCs w:val="24"/>
        </w:rPr>
        <w:t xml:space="preserve">l’Acte additionnel A/SA. 1/06/08 portant adoption des règles communautaires de la concurrence et de leurs modalités d’application au sein de la CEDEAO, adopté à Abuja le 19 décembre 2008,  </w:t>
      </w:r>
      <w:r w:rsidR="00694424" w:rsidRPr="00695693">
        <w:rPr>
          <w:rFonts w:ascii="Times New Roman" w:hAnsi="Times New Roman" w:cs="Times New Roman"/>
          <w:sz w:val="24"/>
          <w:szCs w:val="24"/>
        </w:rPr>
        <w:t>l’Acte additionnel A/SA. 2/01/10 portant transactions électroniques dans l’espace CEDEAO, adopté le 16 février 2010 à Abuja</w:t>
      </w:r>
      <w:r w:rsidR="00B5544B" w:rsidRPr="00695693">
        <w:rPr>
          <w:rFonts w:ascii="Times New Roman" w:hAnsi="Times New Roman" w:cs="Times New Roman"/>
          <w:sz w:val="24"/>
          <w:szCs w:val="24"/>
        </w:rPr>
        <w:t>, etc</w:t>
      </w:r>
      <w:r w:rsidR="00694424" w:rsidRPr="00695693">
        <w:rPr>
          <w:rFonts w:ascii="Times New Roman" w:hAnsi="Times New Roman" w:cs="Times New Roman"/>
          <w:sz w:val="24"/>
          <w:szCs w:val="24"/>
        </w:rPr>
        <w:t>.</w:t>
      </w:r>
    </w:p>
    <w:p w:rsidR="006B207B" w:rsidRDefault="00A75176"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De</w:t>
      </w:r>
      <w:r w:rsidR="00694424" w:rsidRPr="00695693">
        <w:rPr>
          <w:rFonts w:ascii="Times New Roman" w:hAnsi="Times New Roman" w:cs="Times New Roman"/>
          <w:sz w:val="24"/>
          <w:szCs w:val="24"/>
        </w:rPr>
        <w:t xml:space="preserve"> telles normes (entendons par là les protocoles et actes additionnels) entrent aussi dans l</w:t>
      </w:r>
      <w:r w:rsidR="0036097D">
        <w:rPr>
          <w:rFonts w:ascii="Times New Roman" w:hAnsi="Times New Roman" w:cs="Times New Roman"/>
          <w:sz w:val="24"/>
          <w:szCs w:val="24"/>
        </w:rPr>
        <w:t>e champ d’application du renvoi</w:t>
      </w:r>
      <w:r w:rsidR="00694424" w:rsidRPr="00695693">
        <w:rPr>
          <w:rFonts w:ascii="Times New Roman" w:hAnsi="Times New Roman" w:cs="Times New Roman"/>
          <w:sz w:val="24"/>
          <w:szCs w:val="24"/>
        </w:rPr>
        <w:t xml:space="preserve"> préjudiciel</w:t>
      </w:r>
      <w:r w:rsidR="009362D7">
        <w:rPr>
          <w:rFonts w:ascii="Times New Roman" w:hAnsi="Times New Roman" w:cs="Times New Roman"/>
          <w:sz w:val="24"/>
          <w:szCs w:val="24"/>
        </w:rPr>
        <w:t>,</w:t>
      </w:r>
      <w:r w:rsidR="00694424" w:rsidRPr="00695693">
        <w:rPr>
          <w:rFonts w:ascii="Times New Roman" w:hAnsi="Times New Roman" w:cs="Times New Roman"/>
          <w:sz w:val="24"/>
          <w:szCs w:val="24"/>
        </w:rPr>
        <w:t xml:space="preserve"> même si le législateur CEDEAO semble être aphone sur la catégorie des actes additionnels</w:t>
      </w:r>
      <w:r w:rsidR="009362D7">
        <w:rPr>
          <w:rFonts w:ascii="Times New Roman" w:hAnsi="Times New Roman" w:cs="Times New Roman"/>
          <w:sz w:val="24"/>
          <w:szCs w:val="24"/>
        </w:rPr>
        <w:t>,</w:t>
      </w:r>
      <w:r w:rsidR="001A71E5" w:rsidRPr="00695693">
        <w:rPr>
          <w:rFonts w:ascii="Times New Roman" w:hAnsi="Times New Roman" w:cs="Times New Roman"/>
          <w:sz w:val="24"/>
          <w:szCs w:val="24"/>
        </w:rPr>
        <w:t xml:space="preserve"> conformément à la lecture</w:t>
      </w:r>
      <w:r w:rsidR="00694424" w:rsidRPr="00695693">
        <w:rPr>
          <w:rFonts w:ascii="Times New Roman" w:hAnsi="Times New Roman" w:cs="Times New Roman"/>
          <w:sz w:val="24"/>
          <w:szCs w:val="24"/>
        </w:rPr>
        <w:t xml:space="preserve"> de l’art. 10</w:t>
      </w:r>
      <w:r w:rsidR="00265A91" w:rsidRPr="00695693">
        <w:rPr>
          <w:rFonts w:ascii="Times New Roman" w:hAnsi="Times New Roman" w:cs="Times New Roman"/>
          <w:sz w:val="24"/>
          <w:szCs w:val="24"/>
        </w:rPr>
        <w:t xml:space="preserve">, </w:t>
      </w:r>
      <w:r w:rsidR="00694424" w:rsidRPr="00695693">
        <w:rPr>
          <w:rFonts w:ascii="Times New Roman" w:hAnsi="Times New Roman" w:cs="Times New Roman"/>
          <w:sz w:val="24"/>
          <w:szCs w:val="24"/>
        </w:rPr>
        <w:t xml:space="preserve">f du protocole </w:t>
      </w:r>
      <w:r w:rsidR="001A71E5" w:rsidRPr="00695693">
        <w:rPr>
          <w:rFonts w:ascii="Times New Roman" w:hAnsi="Times New Roman" w:cs="Times New Roman"/>
          <w:sz w:val="24"/>
          <w:szCs w:val="24"/>
        </w:rPr>
        <w:t>d’Accra de 2005 précité.</w:t>
      </w:r>
      <w:r w:rsidR="005F75EB" w:rsidRPr="00695693">
        <w:rPr>
          <w:rFonts w:ascii="Times New Roman" w:hAnsi="Times New Roman" w:cs="Times New Roman"/>
          <w:sz w:val="24"/>
          <w:szCs w:val="24"/>
        </w:rPr>
        <w:t xml:space="preserve"> Néanmoins</w:t>
      </w:r>
      <w:r w:rsidR="00694424" w:rsidRPr="00695693">
        <w:rPr>
          <w:rFonts w:ascii="Times New Roman" w:hAnsi="Times New Roman" w:cs="Times New Roman"/>
          <w:sz w:val="24"/>
          <w:szCs w:val="24"/>
        </w:rPr>
        <w:t xml:space="preserve">, le recours préjudiciel sur la catégorie des actes additionnels ne peut que relever de la compétence implicite de la CJ/CEDEAO, parce </w:t>
      </w:r>
      <w:r w:rsidR="00694424" w:rsidRPr="00695693">
        <w:rPr>
          <w:rFonts w:ascii="Times New Roman" w:hAnsi="Times New Roman" w:cs="Times New Roman"/>
          <w:sz w:val="24"/>
          <w:szCs w:val="24"/>
        </w:rPr>
        <w:lastRenderedPageBreak/>
        <w:t xml:space="preserve">que le juge national n’est pas habilité  à interpréter ou apprécier la validité des actes de la communauté. Au demeurant, </w:t>
      </w:r>
      <w:r w:rsidR="0094224C" w:rsidRPr="00695693">
        <w:rPr>
          <w:rFonts w:ascii="Times New Roman" w:hAnsi="Times New Roman" w:cs="Times New Roman"/>
          <w:sz w:val="24"/>
          <w:szCs w:val="24"/>
        </w:rPr>
        <w:t>à la différence des actes additionnels</w:t>
      </w:r>
      <w:r w:rsidR="0094224C" w:rsidRPr="00695693">
        <w:rPr>
          <w:rStyle w:val="Appelnotedebasdep"/>
          <w:rFonts w:ascii="Times New Roman" w:hAnsi="Times New Roman" w:cs="Times New Roman"/>
          <w:sz w:val="24"/>
          <w:szCs w:val="24"/>
        </w:rPr>
        <w:footnoteReference w:id="68"/>
      </w:r>
      <w:r w:rsidR="00475498">
        <w:rPr>
          <w:rFonts w:ascii="Times New Roman" w:hAnsi="Times New Roman" w:cs="Times New Roman"/>
          <w:sz w:val="24"/>
          <w:szCs w:val="24"/>
        </w:rPr>
        <w:t xml:space="preserve">, </w:t>
      </w:r>
      <w:r w:rsidR="00694424" w:rsidRPr="00695693">
        <w:rPr>
          <w:rFonts w:ascii="Times New Roman" w:hAnsi="Times New Roman" w:cs="Times New Roman"/>
          <w:sz w:val="24"/>
          <w:szCs w:val="24"/>
        </w:rPr>
        <w:t>seul le recours en in</w:t>
      </w:r>
      <w:r w:rsidR="001C4311" w:rsidRPr="00695693">
        <w:rPr>
          <w:rFonts w:ascii="Times New Roman" w:hAnsi="Times New Roman" w:cs="Times New Roman"/>
          <w:sz w:val="24"/>
          <w:szCs w:val="24"/>
        </w:rPr>
        <w:t xml:space="preserve">terprétation peut porter sur </w:t>
      </w:r>
      <w:r w:rsidR="0094224C" w:rsidRPr="00695693">
        <w:rPr>
          <w:rFonts w:ascii="Times New Roman" w:hAnsi="Times New Roman" w:cs="Times New Roman"/>
          <w:sz w:val="24"/>
          <w:szCs w:val="24"/>
        </w:rPr>
        <w:t xml:space="preserve">les protocoles additionnels. </w:t>
      </w:r>
      <w:r w:rsidR="00694424" w:rsidRPr="00695693">
        <w:rPr>
          <w:rFonts w:ascii="Times New Roman" w:hAnsi="Times New Roman" w:cs="Times New Roman"/>
          <w:sz w:val="24"/>
          <w:szCs w:val="24"/>
        </w:rPr>
        <w:t>Ainsi, tout comme pour le traité constitutif, l’interprétation  peut naturellem</w:t>
      </w:r>
      <w:r w:rsidR="00247A82" w:rsidRPr="00695693">
        <w:rPr>
          <w:rFonts w:ascii="Times New Roman" w:hAnsi="Times New Roman" w:cs="Times New Roman"/>
          <w:sz w:val="24"/>
          <w:szCs w:val="24"/>
        </w:rPr>
        <w:t>ent porter tant</w:t>
      </w:r>
      <w:r w:rsidR="00694424" w:rsidRPr="00695693">
        <w:rPr>
          <w:rFonts w:ascii="Times New Roman" w:hAnsi="Times New Roman" w:cs="Times New Roman"/>
          <w:sz w:val="24"/>
          <w:szCs w:val="24"/>
        </w:rPr>
        <w:t>« </w:t>
      </w:r>
      <w:r w:rsidR="00694424" w:rsidRPr="00695693">
        <w:rPr>
          <w:rFonts w:ascii="Times New Roman" w:hAnsi="Times New Roman" w:cs="Times New Roman"/>
          <w:i/>
          <w:sz w:val="24"/>
          <w:szCs w:val="24"/>
        </w:rPr>
        <w:t>sur le corps de ces textes qui comportent des dispositions relatives aux institutions ou organes, et aux politiques communautaires, que sur leurs préambules</w:t>
      </w:r>
      <w:r w:rsidR="00694424" w:rsidRPr="00695693">
        <w:rPr>
          <w:rFonts w:ascii="Times New Roman" w:hAnsi="Times New Roman" w:cs="Times New Roman"/>
          <w:sz w:val="24"/>
          <w:szCs w:val="24"/>
        </w:rPr>
        <w:t> »</w:t>
      </w:r>
      <w:r w:rsidR="00694424" w:rsidRPr="00695693">
        <w:rPr>
          <w:rStyle w:val="Appelnotedebasdep"/>
          <w:rFonts w:ascii="Times New Roman" w:hAnsi="Times New Roman" w:cs="Times New Roman"/>
          <w:sz w:val="24"/>
          <w:szCs w:val="24"/>
        </w:rPr>
        <w:footnoteReference w:id="69"/>
      </w:r>
      <w:r w:rsidR="00694424" w:rsidRPr="00695693">
        <w:rPr>
          <w:rFonts w:ascii="Times New Roman" w:hAnsi="Times New Roman" w:cs="Times New Roman"/>
          <w:sz w:val="24"/>
          <w:szCs w:val="24"/>
        </w:rPr>
        <w:t>.</w:t>
      </w:r>
    </w:p>
    <w:p w:rsidR="00694424" w:rsidRPr="00695693" w:rsidRDefault="00912E0D" w:rsidP="00695693">
      <w:pPr>
        <w:spacing w:line="360" w:lineRule="auto"/>
        <w:jc w:val="both"/>
        <w:rPr>
          <w:rFonts w:ascii="Times New Roman" w:hAnsi="Times New Roman" w:cs="Times New Roman"/>
          <w:sz w:val="24"/>
          <w:szCs w:val="24"/>
        </w:rPr>
      </w:pPr>
      <w:r>
        <w:rPr>
          <w:rFonts w:ascii="Times New Roman" w:hAnsi="Times New Roman" w:cs="Times New Roman"/>
          <w:sz w:val="24"/>
          <w:szCs w:val="24"/>
        </w:rPr>
        <w:t>Cependant</w:t>
      </w:r>
      <w:r w:rsidR="003644F6">
        <w:rPr>
          <w:rFonts w:ascii="Times New Roman" w:hAnsi="Times New Roman" w:cs="Times New Roman"/>
          <w:sz w:val="24"/>
          <w:szCs w:val="24"/>
        </w:rPr>
        <w:t>, les normes du droit communautaire originaire ne sont pas les seules à faire l’objet</w:t>
      </w:r>
      <w:r w:rsidR="00CA52C5">
        <w:rPr>
          <w:rFonts w:ascii="Times New Roman" w:hAnsi="Times New Roman" w:cs="Times New Roman"/>
          <w:sz w:val="24"/>
          <w:szCs w:val="24"/>
        </w:rPr>
        <w:t xml:space="preserve"> d’un renvoi préjudiciel deva</w:t>
      </w:r>
      <w:r w:rsidR="00F74351">
        <w:rPr>
          <w:rFonts w:ascii="Times New Roman" w:hAnsi="Times New Roman" w:cs="Times New Roman"/>
          <w:sz w:val="24"/>
          <w:szCs w:val="24"/>
        </w:rPr>
        <w:t>nt le juge CEDEAO. La volonté du</w:t>
      </w:r>
      <w:r w:rsidR="00CA52C5">
        <w:rPr>
          <w:rFonts w:ascii="Times New Roman" w:hAnsi="Times New Roman" w:cs="Times New Roman"/>
          <w:sz w:val="24"/>
          <w:szCs w:val="24"/>
        </w:rPr>
        <w:t xml:space="preserve"> législateur CEDEAO de 2005 </w:t>
      </w:r>
      <w:r w:rsidR="00F74351">
        <w:rPr>
          <w:rFonts w:ascii="Times New Roman" w:hAnsi="Times New Roman" w:cs="Times New Roman"/>
          <w:sz w:val="24"/>
          <w:szCs w:val="24"/>
        </w:rPr>
        <w:t>est loin d’hésiter</w:t>
      </w:r>
      <w:r w:rsidR="00CA52C5">
        <w:rPr>
          <w:rFonts w:ascii="Times New Roman" w:hAnsi="Times New Roman" w:cs="Times New Roman"/>
          <w:sz w:val="24"/>
          <w:szCs w:val="24"/>
        </w:rPr>
        <w:t xml:space="preserve"> à intégrer dans le champ d’application de cette voie de droit les normes du droit communautaire dérivé.</w:t>
      </w:r>
    </w:p>
    <w:p w:rsidR="00694424" w:rsidRPr="00802E04" w:rsidRDefault="0041608B" w:rsidP="002F7CA3">
      <w:pPr>
        <w:pStyle w:val="Titre4"/>
      </w:pPr>
      <w:bookmarkStart w:id="26" w:name="_Toc518672783"/>
      <w:r w:rsidRPr="00802E04">
        <w:t>§ 2 :</w:t>
      </w:r>
      <w:r w:rsidR="00694424" w:rsidRPr="00802E04">
        <w:t xml:space="preserve"> Les normes du droit communautaire dérivé</w:t>
      </w:r>
      <w:bookmarkEnd w:id="26"/>
    </w:p>
    <w:p w:rsidR="00FC05FD" w:rsidRPr="00695693" w:rsidRDefault="001E0CA5"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Elles </w:t>
      </w:r>
      <w:r w:rsidR="00694424" w:rsidRPr="00695693">
        <w:rPr>
          <w:rFonts w:ascii="Times New Roman" w:hAnsi="Times New Roman" w:cs="Times New Roman"/>
          <w:sz w:val="24"/>
          <w:szCs w:val="24"/>
        </w:rPr>
        <w:t>vise</w:t>
      </w:r>
      <w:r w:rsidRPr="00695693">
        <w:rPr>
          <w:rFonts w:ascii="Times New Roman" w:hAnsi="Times New Roman" w:cs="Times New Roman"/>
          <w:sz w:val="24"/>
          <w:szCs w:val="24"/>
        </w:rPr>
        <w:t>nt</w:t>
      </w:r>
      <w:r w:rsidR="00694424" w:rsidRPr="00695693">
        <w:rPr>
          <w:rFonts w:ascii="Times New Roman" w:hAnsi="Times New Roman" w:cs="Times New Roman"/>
          <w:sz w:val="24"/>
          <w:szCs w:val="24"/>
        </w:rPr>
        <w:t xml:space="preserve"> substantiellement l’ensemble des actes pris par les </w:t>
      </w:r>
      <w:r w:rsidR="00B21A37">
        <w:rPr>
          <w:rFonts w:ascii="Times New Roman" w:hAnsi="Times New Roman" w:cs="Times New Roman"/>
          <w:sz w:val="24"/>
          <w:szCs w:val="24"/>
        </w:rPr>
        <w:t xml:space="preserve">organes </w:t>
      </w:r>
      <w:r w:rsidR="00694424" w:rsidRPr="00695693">
        <w:rPr>
          <w:rFonts w:ascii="Times New Roman" w:hAnsi="Times New Roman" w:cs="Times New Roman"/>
          <w:sz w:val="24"/>
          <w:szCs w:val="24"/>
        </w:rPr>
        <w:t>de la communauté</w:t>
      </w:r>
      <w:r w:rsidR="00694424" w:rsidRPr="00695693">
        <w:rPr>
          <w:rStyle w:val="Appelnotedebasdep"/>
          <w:rFonts w:ascii="Times New Roman" w:hAnsi="Times New Roman" w:cs="Times New Roman"/>
          <w:sz w:val="24"/>
          <w:szCs w:val="24"/>
        </w:rPr>
        <w:footnoteReference w:id="70"/>
      </w:r>
      <w:r w:rsidR="00694424" w:rsidRPr="00695693">
        <w:rPr>
          <w:rFonts w:ascii="Times New Roman" w:hAnsi="Times New Roman" w:cs="Times New Roman"/>
          <w:sz w:val="24"/>
          <w:szCs w:val="24"/>
        </w:rPr>
        <w:t xml:space="preserve"> dans « </w:t>
      </w:r>
      <w:r w:rsidR="00694424" w:rsidRPr="00695693">
        <w:rPr>
          <w:rFonts w:ascii="Times New Roman" w:hAnsi="Times New Roman" w:cs="Times New Roman"/>
          <w:i/>
          <w:sz w:val="24"/>
          <w:szCs w:val="24"/>
        </w:rPr>
        <w:t>la mise en œuvre du droit primaire en vue de la réalisation des objectifs poursuivis</w:t>
      </w:r>
      <w:r w:rsidR="00694424" w:rsidRPr="00695693">
        <w:rPr>
          <w:rFonts w:ascii="Times New Roman" w:hAnsi="Times New Roman" w:cs="Times New Roman"/>
          <w:sz w:val="24"/>
          <w:szCs w:val="24"/>
        </w:rPr>
        <w:t>… »</w:t>
      </w:r>
      <w:r w:rsidR="00694424" w:rsidRPr="00695693">
        <w:rPr>
          <w:rStyle w:val="Appelnotedebasdep"/>
          <w:rFonts w:ascii="Times New Roman" w:hAnsi="Times New Roman" w:cs="Times New Roman"/>
          <w:sz w:val="24"/>
          <w:szCs w:val="24"/>
        </w:rPr>
        <w:footnoteReference w:id="71"/>
      </w:r>
      <w:r w:rsidR="00694424" w:rsidRPr="00695693">
        <w:rPr>
          <w:rFonts w:ascii="Times New Roman" w:hAnsi="Times New Roman" w:cs="Times New Roman"/>
          <w:sz w:val="24"/>
          <w:szCs w:val="24"/>
        </w:rPr>
        <w:t xml:space="preserve"> Par la Communauté.  La C</w:t>
      </w:r>
      <w:r w:rsidRPr="00695693">
        <w:rPr>
          <w:rFonts w:ascii="Times New Roman" w:hAnsi="Times New Roman" w:cs="Times New Roman"/>
          <w:sz w:val="24"/>
          <w:szCs w:val="24"/>
        </w:rPr>
        <w:t xml:space="preserve">JCE </w:t>
      </w:r>
      <w:r w:rsidR="00694424" w:rsidRPr="00695693">
        <w:rPr>
          <w:rFonts w:ascii="Times New Roman" w:hAnsi="Times New Roman" w:cs="Times New Roman"/>
          <w:sz w:val="24"/>
          <w:szCs w:val="24"/>
        </w:rPr>
        <w:t>a précisé qu’il fallait entendre par là « </w:t>
      </w:r>
      <w:r w:rsidR="00694424" w:rsidRPr="00695693">
        <w:rPr>
          <w:rFonts w:ascii="Times New Roman" w:hAnsi="Times New Roman" w:cs="Times New Roman"/>
          <w:i/>
          <w:sz w:val="24"/>
          <w:szCs w:val="24"/>
        </w:rPr>
        <w:t>tous les actes des institutions, sans distinction</w:t>
      </w:r>
      <w:r w:rsidR="00694424" w:rsidRPr="00695693">
        <w:rPr>
          <w:rFonts w:ascii="Times New Roman" w:hAnsi="Times New Roman" w:cs="Times New Roman"/>
          <w:sz w:val="24"/>
          <w:szCs w:val="24"/>
        </w:rPr>
        <w:t> »</w:t>
      </w:r>
      <w:r w:rsidR="00694424" w:rsidRPr="00695693">
        <w:rPr>
          <w:rStyle w:val="Appelnotedebasdep"/>
          <w:rFonts w:ascii="Times New Roman" w:hAnsi="Times New Roman" w:cs="Times New Roman"/>
          <w:sz w:val="24"/>
          <w:szCs w:val="24"/>
        </w:rPr>
        <w:footnoteReference w:id="72"/>
      </w:r>
      <w:r w:rsidR="00694424" w:rsidRPr="00695693">
        <w:rPr>
          <w:rFonts w:ascii="Times New Roman" w:hAnsi="Times New Roman" w:cs="Times New Roman"/>
          <w:sz w:val="24"/>
          <w:szCs w:val="24"/>
        </w:rPr>
        <w:t>, peu importe qu’il s’agisse d’actes prévus à la nomenclature officielle ou non</w:t>
      </w:r>
      <w:r w:rsidR="00694424" w:rsidRPr="00695693">
        <w:rPr>
          <w:rStyle w:val="Appelnotedebasdep"/>
          <w:rFonts w:ascii="Times New Roman" w:hAnsi="Times New Roman" w:cs="Times New Roman"/>
          <w:sz w:val="24"/>
          <w:szCs w:val="24"/>
        </w:rPr>
        <w:footnoteReference w:id="73"/>
      </w:r>
      <w:r w:rsidR="0012399F">
        <w:rPr>
          <w:rFonts w:ascii="Times New Roman" w:hAnsi="Times New Roman" w:cs="Times New Roman"/>
          <w:sz w:val="24"/>
          <w:szCs w:val="24"/>
        </w:rPr>
        <w:t xml:space="preserve">. </w:t>
      </w:r>
      <w:r w:rsidR="00CE397D" w:rsidRPr="00695693">
        <w:rPr>
          <w:rFonts w:ascii="Times New Roman" w:hAnsi="Times New Roman" w:cs="Times New Roman"/>
          <w:sz w:val="24"/>
          <w:szCs w:val="24"/>
        </w:rPr>
        <w:t>En effet</w:t>
      </w:r>
      <w:r w:rsidR="00694424" w:rsidRPr="00695693">
        <w:rPr>
          <w:rFonts w:ascii="Times New Roman" w:hAnsi="Times New Roman" w:cs="Times New Roman"/>
          <w:sz w:val="24"/>
          <w:szCs w:val="24"/>
        </w:rPr>
        <w:t xml:space="preserve">, depuis l’adoption du protocole  </w:t>
      </w:r>
      <w:r w:rsidR="00296536" w:rsidRPr="00695693">
        <w:rPr>
          <w:rFonts w:ascii="Times New Roman" w:hAnsi="Times New Roman" w:cs="Times New Roman"/>
          <w:sz w:val="24"/>
          <w:szCs w:val="24"/>
        </w:rPr>
        <w:t>additionnel A/SP.1/06/06 du 14 j</w:t>
      </w:r>
      <w:r w:rsidR="00694424" w:rsidRPr="00695693">
        <w:rPr>
          <w:rFonts w:ascii="Times New Roman" w:hAnsi="Times New Roman" w:cs="Times New Roman"/>
          <w:sz w:val="24"/>
          <w:szCs w:val="24"/>
        </w:rPr>
        <w:t>uin 2006  portant  amendement du traité révisé de la CEDEAO</w:t>
      </w:r>
      <w:r w:rsidR="00694424" w:rsidRPr="00695693">
        <w:rPr>
          <w:rStyle w:val="Appelnotedebasdep"/>
          <w:rFonts w:ascii="Times New Roman" w:hAnsi="Times New Roman" w:cs="Times New Roman"/>
          <w:sz w:val="24"/>
          <w:szCs w:val="24"/>
        </w:rPr>
        <w:footnoteReference w:id="74"/>
      </w:r>
      <w:r w:rsidR="00694424" w:rsidRPr="00695693">
        <w:rPr>
          <w:rFonts w:ascii="Times New Roman" w:hAnsi="Times New Roman" w:cs="Times New Roman"/>
          <w:sz w:val="24"/>
          <w:szCs w:val="24"/>
        </w:rPr>
        <w:t>,  les actes de la Communauté sont  pour l’essentiel : les règlements, les directives, les décisions, les avis et les recommandations</w:t>
      </w:r>
      <w:r w:rsidR="00694424" w:rsidRPr="00695693">
        <w:rPr>
          <w:rStyle w:val="Appelnotedebasdep"/>
          <w:rFonts w:ascii="Times New Roman" w:hAnsi="Times New Roman" w:cs="Times New Roman"/>
          <w:sz w:val="24"/>
          <w:szCs w:val="24"/>
        </w:rPr>
        <w:footnoteReference w:id="75"/>
      </w:r>
      <w:r w:rsidR="00694424" w:rsidRPr="00695693">
        <w:rPr>
          <w:rFonts w:ascii="Times New Roman" w:hAnsi="Times New Roman" w:cs="Times New Roman"/>
          <w:sz w:val="24"/>
          <w:szCs w:val="24"/>
        </w:rPr>
        <w:t>.  La compétence préjudicielle de la Cour de justice d</w:t>
      </w:r>
      <w:r w:rsidR="001C4311" w:rsidRPr="00695693">
        <w:rPr>
          <w:rFonts w:ascii="Times New Roman" w:hAnsi="Times New Roman" w:cs="Times New Roman"/>
          <w:sz w:val="24"/>
          <w:szCs w:val="24"/>
        </w:rPr>
        <w:t xml:space="preserve">e la </w:t>
      </w:r>
      <w:r w:rsidR="001C4311" w:rsidRPr="00695693">
        <w:rPr>
          <w:rFonts w:ascii="Times New Roman" w:hAnsi="Times New Roman" w:cs="Times New Roman"/>
          <w:sz w:val="24"/>
          <w:szCs w:val="24"/>
        </w:rPr>
        <w:lastRenderedPageBreak/>
        <w:t>CEDEAO  peut porter sur de</w:t>
      </w:r>
      <w:r w:rsidR="00694424" w:rsidRPr="00695693">
        <w:rPr>
          <w:rFonts w:ascii="Times New Roman" w:hAnsi="Times New Roman" w:cs="Times New Roman"/>
          <w:sz w:val="24"/>
          <w:szCs w:val="24"/>
        </w:rPr>
        <w:t xml:space="preserve"> tels actes. Une classification de ces différents actes permet de retenir deux (2) catégories des normes : les normes d’application directe </w:t>
      </w:r>
      <w:r w:rsidR="00694424" w:rsidRPr="00EE738A">
        <w:rPr>
          <w:rFonts w:ascii="Times New Roman" w:hAnsi="Times New Roman" w:cs="Times New Roman"/>
          <w:b/>
          <w:sz w:val="24"/>
          <w:szCs w:val="24"/>
        </w:rPr>
        <w:t>(A)</w:t>
      </w:r>
      <w:r w:rsidR="00694424" w:rsidRPr="00695693">
        <w:rPr>
          <w:rFonts w:ascii="Times New Roman" w:hAnsi="Times New Roman" w:cs="Times New Roman"/>
          <w:sz w:val="24"/>
          <w:szCs w:val="24"/>
        </w:rPr>
        <w:t xml:space="preserve"> et les normes d’application indirecte </w:t>
      </w:r>
      <w:r w:rsidR="00694424" w:rsidRPr="00EE738A">
        <w:rPr>
          <w:rFonts w:ascii="Times New Roman" w:hAnsi="Times New Roman" w:cs="Times New Roman"/>
          <w:b/>
          <w:sz w:val="24"/>
          <w:szCs w:val="24"/>
        </w:rPr>
        <w:t>(B)</w:t>
      </w:r>
      <w:r w:rsidR="00694424" w:rsidRPr="00EE738A">
        <w:rPr>
          <w:rFonts w:ascii="Times New Roman" w:hAnsi="Times New Roman" w:cs="Times New Roman"/>
          <w:sz w:val="24"/>
          <w:szCs w:val="24"/>
        </w:rPr>
        <w:t>.</w:t>
      </w:r>
    </w:p>
    <w:p w:rsidR="00694424" w:rsidRPr="00802E04" w:rsidRDefault="00694424" w:rsidP="0037430F">
      <w:pPr>
        <w:pStyle w:val="Titre5"/>
      </w:pPr>
      <w:bookmarkStart w:id="27" w:name="_Toc518672784"/>
      <w:r w:rsidRPr="00802E04">
        <w:t>A.  Les normes d’application directe</w:t>
      </w:r>
      <w:bookmarkEnd w:id="27"/>
    </w:p>
    <w:p w:rsidR="008E18F0" w:rsidRPr="00DB264A"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Elle</w:t>
      </w:r>
      <w:r w:rsidR="008E18F0" w:rsidRPr="00695693">
        <w:rPr>
          <w:rFonts w:ascii="Times New Roman" w:hAnsi="Times New Roman" w:cs="Times New Roman"/>
          <w:sz w:val="24"/>
          <w:szCs w:val="24"/>
        </w:rPr>
        <w:t>s</w:t>
      </w:r>
      <w:r w:rsidRPr="00695693">
        <w:rPr>
          <w:rFonts w:ascii="Times New Roman" w:hAnsi="Times New Roman" w:cs="Times New Roman"/>
          <w:sz w:val="24"/>
          <w:szCs w:val="24"/>
        </w:rPr>
        <w:t xml:space="preserve"> regroupe</w:t>
      </w:r>
      <w:r w:rsidR="008E18F0" w:rsidRPr="00695693">
        <w:rPr>
          <w:rFonts w:ascii="Times New Roman" w:hAnsi="Times New Roman" w:cs="Times New Roman"/>
          <w:sz w:val="24"/>
          <w:szCs w:val="24"/>
        </w:rPr>
        <w:t>nt</w:t>
      </w:r>
      <w:r w:rsidRPr="00695693">
        <w:rPr>
          <w:rFonts w:ascii="Times New Roman" w:hAnsi="Times New Roman" w:cs="Times New Roman"/>
          <w:sz w:val="24"/>
          <w:szCs w:val="24"/>
        </w:rPr>
        <w:t xml:space="preserve"> à la fois l’intégration immédiate et l’effet direct. S’agissant de l’intégration immédiate, il faut convenir a</w:t>
      </w:r>
      <w:r w:rsidR="00276068" w:rsidRPr="00695693">
        <w:rPr>
          <w:rFonts w:ascii="Times New Roman" w:hAnsi="Times New Roman" w:cs="Times New Roman"/>
          <w:sz w:val="24"/>
          <w:szCs w:val="24"/>
        </w:rPr>
        <w:t>vec le professeur Guy ISAAC que</w:t>
      </w:r>
      <w:r w:rsidRPr="00695693">
        <w:rPr>
          <w:rFonts w:ascii="Times New Roman" w:hAnsi="Times New Roman" w:cs="Times New Roman"/>
          <w:sz w:val="24"/>
          <w:szCs w:val="24"/>
        </w:rPr>
        <w:t xml:space="preserve"> « </w:t>
      </w:r>
      <w:r w:rsidRPr="00695693">
        <w:rPr>
          <w:rFonts w:ascii="Times New Roman" w:hAnsi="Times New Roman" w:cs="Times New Roman"/>
          <w:i/>
          <w:sz w:val="24"/>
          <w:szCs w:val="24"/>
        </w:rPr>
        <w:t>la norme de droit communautaire acquiert automatiquement statut de droit positif dans l’ordre interne des Etats</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76"/>
      </w:r>
      <w:r w:rsidR="00CE397D" w:rsidRPr="00695693">
        <w:rPr>
          <w:rFonts w:ascii="Times New Roman" w:hAnsi="Times New Roman" w:cs="Times New Roman"/>
          <w:sz w:val="24"/>
          <w:szCs w:val="24"/>
        </w:rPr>
        <w:t>.</w:t>
      </w:r>
      <w:r w:rsidR="00416084" w:rsidRPr="00695693">
        <w:rPr>
          <w:rFonts w:ascii="Times New Roman" w:hAnsi="Times New Roman" w:cs="Times New Roman"/>
          <w:sz w:val="24"/>
          <w:szCs w:val="24"/>
        </w:rPr>
        <w:t xml:space="preserve"> La CJCE dit que cette catégorie de norme</w:t>
      </w:r>
      <w:r w:rsidRPr="00695693">
        <w:rPr>
          <w:rFonts w:ascii="Times New Roman" w:hAnsi="Times New Roman" w:cs="Times New Roman"/>
          <w:sz w:val="24"/>
          <w:szCs w:val="24"/>
        </w:rPr>
        <w:t>fait « </w:t>
      </w:r>
      <w:r w:rsidRPr="00695693">
        <w:rPr>
          <w:rFonts w:ascii="Times New Roman" w:hAnsi="Times New Roman" w:cs="Times New Roman"/>
          <w:i/>
          <w:sz w:val="24"/>
          <w:szCs w:val="24"/>
        </w:rPr>
        <w:t>partie intégrante… de l’ordre juridique applicable sur le territoire de chacun des Etats membres</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77"/>
      </w:r>
      <w:r w:rsidRPr="00695693">
        <w:rPr>
          <w:rFonts w:ascii="Times New Roman" w:hAnsi="Times New Roman" w:cs="Times New Roman"/>
          <w:sz w:val="24"/>
          <w:szCs w:val="24"/>
        </w:rPr>
        <w:t xml:space="preserve">.  S’agissant de l’effet direct ou de l’applicabilité directe, </w:t>
      </w:r>
      <w:r w:rsidR="006E0D9A" w:rsidRPr="00695693">
        <w:rPr>
          <w:rFonts w:ascii="Times New Roman" w:hAnsi="Times New Roman" w:cs="Times New Roman"/>
          <w:sz w:val="24"/>
          <w:szCs w:val="24"/>
        </w:rPr>
        <w:t xml:space="preserve">il signifie que la règle communautaire a </w:t>
      </w:r>
      <w:r w:rsidRPr="00695693">
        <w:rPr>
          <w:rFonts w:ascii="Times New Roman" w:hAnsi="Times New Roman" w:cs="Times New Roman"/>
          <w:sz w:val="24"/>
          <w:szCs w:val="24"/>
        </w:rPr>
        <w:t>«</w:t>
      </w:r>
      <w:r w:rsidR="006E0D9A" w:rsidRPr="00695693">
        <w:rPr>
          <w:rFonts w:ascii="Times New Roman" w:hAnsi="Times New Roman" w:cs="Times New Roman"/>
          <w:sz w:val="24"/>
          <w:szCs w:val="24"/>
        </w:rPr>
        <w:t>…</w:t>
      </w:r>
      <w:r w:rsidRPr="00695693">
        <w:rPr>
          <w:rFonts w:ascii="Times New Roman" w:hAnsi="Times New Roman" w:cs="Times New Roman"/>
          <w:sz w:val="24"/>
          <w:szCs w:val="24"/>
        </w:rPr>
        <w:t> </w:t>
      </w:r>
      <w:r w:rsidRPr="00695693">
        <w:rPr>
          <w:rFonts w:ascii="Times New Roman" w:hAnsi="Times New Roman" w:cs="Times New Roman"/>
          <w:i/>
          <w:sz w:val="24"/>
          <w:szCs w:val="24"/>
        </w:rPr>
        <w:t xml:space="preserve"> l’aptitude générale à être source de droits subjectifs et d’obligations individuelles attribuables et invocables par les personnes, tant dans les rapports de particuliers à particuliers, que dans les relations juridiques desindividus avec les institutions de l’Etat</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78"/>
      </w:r>
      <w:r w:rsidRPr="00695693">
        <w:rPr>
          <w:rFonts w:ascii="Times New Roman" w:hAnsi="Times New Roman" w:cs="Times New Roman"/>
          <w:sz w:val="24"/>
          <w:szCs w:val="24"/>
        </w:rPr>
        <w:t>. La détermination de ce critère d’effet direct relève du droit communautaire et en dernier lieu de la Cour de justice, qui illumine les juridictions nationales par la technique des questions préjudicielles. Ainsi, selon la jurisprudence, il « </w:t>
      </w:r>
      <w:r w:rsidRPr="00695693">
        <w:rPr>
          <w:rFonts w:ascii="Times New Roman" w:hAnsi="Times New Roman" w:cs="Times New Roman"/>
          <w:i/>
          <w:sz w:val="24"/>
          <w:szCs w:val="24"/>
        </w:rPr>
        <w:t>faut et il suffit que la disposition invoquée… se prête, par sa nature même, à produire des effets directs dans les relations juridiques entre les Etats membres et leurs justiciables</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79"/>
      </w:r>
      <w:r w:rsidRPr="00695693">
        <w:rPr>
          <w:rFonts w:ascii="Times New Roman" w:hAnsi="Times New Roman" w:cs="Times New Roman"/>
          <w:sz w:val="24"/>
          <w:szCs w:val="24"/>
        </w:rPr>
        <w:t>. Concrètement, il faudra que, la norme soit suffisamment claire et précise, complète et juridiquement parfaite et enfin inconditionnelle</w:t>
      </w:r>
      <w:r w:rsidRPr="00695693">
        <w:rPr>
          <w:rStyle w:val="Appelnotedebasdep"/>
          <w:rFonts w:ascii="Times New Roman" w:hAnsi="Times New Roman" w:cs="Times New Roman"/>
          <w:sz w:val="24"/>
          <w:szCs w:val="24"/>
        </w:rPr>
        <w:footnoteReference w:id="80"/>
      </w:r>
      <w:r w:rsidRPr="00695693">
        <w:rPr>
          <w:rFonts w:ascii="Times New Roman" w:hAnsi="Times New Roman" w:cs="Times New Roman"/>
          <w:sz w:val="24"/>
          <w:szCs w:val="24"/>
        </w:rPr>
        <w:t>.A côté de ces deux critères, existe un troisième qu’est celui de la primauté de la norme communautaire sur les législations nationales</w:t>
      </w:r>
      <w:r w:rsidR="00275E8D">
        <w:rPr>
          <w:rStyle w:val="Appelnotedebasdep"/>
          <w:rFonts w:ascii="Times New Roman" w:hAnsi="Times New Roman" w:cs="Times New Roman"/>
          <w:sz w:val="24"/>
          <w:szCs w:val="24"/>
        </w:rPr>
        <w:footnoteReference w:id="81"/>
      </w:r>
      <w:r w:rsidRPr="00695693">
        <w:rPr>
          <w:rFonts w:ascii="Times New Roman" w:hAnsi="Times New Roman" w:cs="Times New Roman"/>
          <w:sz w:val="24"/>
          <w:szCs w:val="24"/>
        </w:rPr>
        <w:t>. Tous ces critères, d’origines prétoriennes, existent et s’appliquent au</w:t>
      </w:r>
      <w:r w:rsidR="00265A91" w:rsidRPr="00695693">
        <w:rPr>
          <w:rFonts w:ascii="Times New Roman" w:hAnsi="Times New Roman" w:cs="Times New Roman"/>
          <w:sz w:val="24"/>
          <w:szCs w:val="24"/>
        </w:rPr>
        <w:t xml:space="preserve">jourd’hui en droit CEDEAO. </w:t>
      </w:r>
      <w:r w:rsidRPr="00695693">
        <w:rPr>
          <w:rFonts w:ascii="Times New Roman" w:hAnsi="Times New Roman" w:cs="Times New Roman"/>
          <w:sz w:val="24"/>
          <w:szCs w:val="24"/>
        </w:rPr>
        <w:t xml:space="preserve"> A cet égard, il convient de noter que, depuis l’adoption du protocole d’Abuja de 2006, relatif à l’amendement du Traité révisé, les normes d’application immédiates</w:t>
      </w:r>
      <w:r w:rsidR="00821185">
        <w:rPr>
          <w:rFonts w:ascii="Times New Roman" w:hAnsi="Times New Roman" w:cs="Times New Roman"/>
          <w:sz w:val="24"/>
          <w:szCs w:val="24"/>
        </w:rPr>
        <w:t xml:space="preserve">, </w:t>
      </w:r>
      <w:r w:rsidR="00A01AD2">
        <w:rPr>
          <w:rFonts w:ascii="Times New Roman" w:hAnsi="Times New Roman" w:cs="Times New Roman"/>
          <w:sz w:val="24"/>
          <w:szCs w:val="24"/>
        </w:rPr>
        <w:t xml:space="preserve">intéressées </w:t>
      </w:r>
      <w:r w:rsidRPr="00695693">
        <w:rPr>
          <w:rFonts w:ascii="Times New Roman" w:hAnsi="Times New Roman" w:cs="Times New Roman"/>
          <w:sz w:val="24"/>
          <w:szCs w:val="24"/>
        </w:rPr>
        <w:t xml:space="preserve">dans le développement de cette partie, se résument, pour l’essentiel, </w:t>
      </w:r>
      <w:r w:rsidRPr="00695693">
        <w:rPr>
          <w:rFonts w:ascii="Times New Roman" w:hAnsi="Times New Roman" w:cs="Times New Roman"/>
          <w:sz w:val="24"/>
          <w:szCs w:val="24"/>
        </w:rPr>
        <w:lastRenderedPageBreak/>
        <w:t xml:space="preserve">aux règlements adoptés par les </w:t>
      </w:r>
      <w:r w:rsidR="00CE6CD1" w:rsidRPr="00CE6CD1">
        <w:rPr>
          <w:rFonts w:ascii="Times New Roman" w:hAnsi="Times New Roman" w:cs="Times New Roman"/>
          <w:sz w:val="24"/>
          <w:szCs w:val="24"/>
        </w:rPr>
        <w:t xml:space="preserve">organes </w:t>
      </w:r>
      <w:r w:rsidRPr="00695693">
        <w:rPr>
          <w:rFonts w:ascii="Times New Roman" w:hAnsi="Times New Roman" w:cs="Times New Roman"/>
          <w:sz w:val="24"/>
          <w:szCs w:val="24"/>
        </w:rPr>
        <w:t>de la Communauté. Ces règlements « </w:t>
      </w:r>
      <w:r w:rsidRPr="00695693">
        <w:rPr>
          <w:rFonts w:ascii="Times New Roman" w:hAnsi="Times New Roman" w:cs="Times New Roman"/>
          <w:i/>
          <w:sz w:val="24"/>
          <w:szCs w:val="24"/>
        </w:rPr>
        <w:t>ont une portée générale. Ils sont obligatoires en toutes leurs dispositions et sont directement applicables dans les Etats membres. Ils ont force obligatoire à l’égard des institutions de la Communauté</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82"/>
      </w:r>
      <w:r w:rsidRPr="00695693">
        <w:rPr>
          <w:rFonts w:ascii="Times New Roman" w:hAnsi="Times New Roman" w:cs="Times New Roman"/>
          <w:sz w:val="24"/>
          <w:szCs w:val="24"/>
        </w:rPr>
        <w:t xml:space="preserve">. </w:t>
      </w:r>
      <w:r w:rsidR="00670C69" w:rsidRPr="00695693">
        <w:rPr>
          <w:rFonts w:ascii="Times New Roman" w:hAnsi="Times New Roman" w:cs="Times New Roman"/>
          <w:sz w:val="24"/>
          <w:szCs w:val="24"/>
        </w:rPr>
        <w:t>Sans avoir la volonté de faire un inventaire de tous les règlements qui existent aujourd’hui au niveau de la CEDEAO</w:t>
      </w:r>
      <w:r w:rsidR="00157B4D">
        <w:rPr>
          <w:rStyle w:val="Appelnotedebasdep"/>
          <w:rFonts w:ascii="Times New Roman" w:hAnsi="Times New Roman" w:cs="Times New Roman"/>
          <w:sz w:val="24"/>
          <w:szCs w:val="24"/>
        </w:rPr>
        <w:footnoteReference w:id="83"/>
      </w:r>
      <w:r w:rsidR="00670C69" w:rsidRPr="00695693">
        <w:rPr>
          <w:rFonts w:ascii="Times New Roman" w:hAnsi="Times New Roman" w:cs="Times New Roman"/>
          <w:sz w:val="24"/>
          <w:szCs w:val="24"/>
        </w:rPr>
        <w:t xml:space="preserve">, l’on se contentera de rappeler, conformément à la logique de l’art. 10, </w:t>
      </w:r>
      <w:r w:rsidR="004F22FF">
        <w:rPr>
          <w:rFonts w:ascii="Times New Roman" w:hAnsi="Times New Roman" w:cs="Times New Roman"/>
          <w:sz w:val="24"/>
          <w:szCs w:val="24"/>
        </w:rPr>
        <w:t xml:space="preserve">point </w:t>
      </w:r>
      <w:r w:rsidR="00670C69" w:rsidRPr="00695693">
        <w:rPr>
          <w:rFonts w:ascii="Times New Roman" w:hAnsi="Times New Roman" w:cs="Times New Roman"/>
          <w:sz w:val="24"/>
          <w:szCs w:val="24"/>
        </w:rPr>
        <w:t>f du protocole d’Accra de 2005, qu’il</w:t>
      </w:r>
      <w:r w:rsidR="00275E8D">
        <w:rPr>
          <w:rFonts w:ascii="Times New Roman" w:hAnsi="Times New Roman" w:cs="Times New Roman"/>
          <w:sz w:val="24"/>
          <w:szCs w:val="24"/>
        </w:rPr>
        <w:t>s</w:t>
      </w:r>
      <w:r w:rsidR="00670C69" w:rsidRPr="00695693">
        <w:rPr>
          <w:rFonts w:ascii="Times New Roman" w:hAnsi="Times New Roman" w:cs="Times New Roman"/>
          <w:sz w:val="24"/>
          <w:szCs w:val="24"/>
        </w:rPr>
        <w:t xml:space="preserve"> pourrai</w:t>
      </w:r>
      <w:r w:rsidR="00275E8D">
        <w:rPr>
          <w:rFonts w:ascii="Times New Roman" w:hAnsi="Times New Roman" w:cs="Times New Roman"/>
          <w:sz w:val="24"/>
          <w:szCs w:val="24"/>
        </w:rPr>
        <w:t>en</w:t>
      </w:r>
      <w:r w:rsidR="00670C69" w:rsidRPr="00695693">
        <w:rPr>
          <w:rFonts w:ascii="Times New Roman" w:hAnsi="Times New Roman" w:cs="Times New Roman"/>
          <w:sz w:val="24"/>
          <w:szCs w:val="24"/>
        </w:rPr>
        <w:t>t faire l’objet d’un re</w:t>
      </w:r>
      <w:r w:rsidR="00AD7E70">
        <w:rPr>
          <w:rFonts w:ascii="Times New Roman" w:hAnsi="Times New Roman" w:cs="Times New Roman"/>
          <w:sz w:val="24"/>
          <w:szCs w:val="24"/>
        </w:rPr>
        <w:t>nvoi</w:t>
      </w:r>
      <w:r w:rsidR="00670C69" w:rsidRPr="00695693">
        <w:rPr>
          <w:rFonts w:ascii="Times New Roman" w:hAnsi="Times New Roman" w:cs="Times New Roman"/>
          <w:sz w:val="24"/>
          <w:szCs w:val="24"/>
        </w:rPr>
        <w:t xml:space="preserve"> préjudiciel devant le juge CEDEAO. </w:t>
      </w:r>
      <w:r w:rsidRPr="00695693">
        <w:rPr>
          <w:rFonts w:ascii="Times New Roman" w:hAnsi="Times New Roman" w:cs="Times New Roman"/>
          <w:sz w:val="24"/>
          <w:szCs w:val="24"/>
        </w:rPr>
        <w:t>La question peut porter tant sur l’interprétation du règlement que sur l’appréciation de sa validité.</w:t>
      </w:r>
      <w:r w:rsidR="00EF77EA" w:rsidRPr="00695693">
        <w:rPr>
          <w:rFonts w:ascii="Times New Roman" w:hAnsi="Times New Roman" w:cs="Times New Roman"/>
          <w:sz w:val="24"/>
          <w:szCs w:val="24"/>
        </w:rPr>
        <w:t xml:space="preserve"> Il en est de même en </w:t>
      </w:r>
      <w:r w:rsidR="005A5101">
        <w:rPr>
          <w:rFonts w:ascii="Times New Roman" w:hAnsi="Times New Roman" w:cs="Times New Roman"/>
          <w:sz w:val="24"/>
          <w:szCs w:val="24"/>
        </w:rPr>
        <w:t xml:space="preserve">ce qui concerne les normes d’application indirecte. </w:t>
      </w:r>
    </w:p>
    <w:p w:rsidR="00694424" w:rsidRPr="00802E04" w:rsidRDefault="00694424" w:rsidP="0037430F">
      <w:pPr>
        <w:pStyle w:val="Titre5"/>
      </w:pPr>
      <w:bookmarkStart w:id="28" w:name="_Toc518672785"/>
      <w:r w:rsidRPr="00802E04">
        <w:t>B. Les normes d’application indirecte</w:t>
      </w:r>
      <w:bookmarkEnd w:id="28"/>
    </w:p>
    <w:p w:rsidR="00296536"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Tout comme les normes d’application immédiate, ce</w:t>
      </w:r>
      <w:r w:rsidR="00B6051F">
        <w:rPr>
          <w:rFonts w:ascii="Times New Roman" w:hAnsi="Times New Roman" w:cs="Times New Roman"/>
          <w:sz w:val="24"/>
          <w:szCs w:val="24"/>
        </w:rPr>
        <w:t>lles d’application indirecte ou</w:t>
      </w:r>
      <w:r w:rsidRPr="00695693">
        <w:rPr>
          <w:rFonts w:ascii="Times New Roman" w:hAnsi="Times New Roman" w:cs="Times New Roman"/>
          <w:sz w:val="24"/>
          <w:szCs w:val="24"/>
        </w:rPr>
        <w:t xml:space="preserve"> non immédiate bénéficient des mêmes caractères énumérés ci-dessus. Cependant, à la différence des premières, les secondes doivent suivre une certaine procédure, un traitement spécial pour qu’elles puissent intégrer et produire leurs effets dans l’ordre juridique interne des Etats membres. Ainsi, l’expression application indirecte ou non immédiate renvoieà toutes les normes communautaires qui ont besoin d’une intervention officielle des Etats membres pour intégrer leurs ordres juridiques et, par la suite, produire leurs effets dans l’ordre juridique desdits Etats. Par intervention officielle, </w:t>
      </w:r>
      <w:r w:rsidR="00B6051F">
        <w:rPr>
          <w:rFonts w:ascii="Times New Roman" w:hAnsi="Times New Roman" w:cs="Times New Roman"/>
          <w:sz w:val="24"/>
          <w:szCs w:val="24"/>
        </w:rPr>
        <w:t xml:space="preserve">il faut </w:t>
      </w:r>
      <w:r w:rsidRPr="00695693">
        <w:rPr>
          <w:rFonts w:ascii="Times New Roman" w:hAnsi="Times New Roman" w:cs="Times New Roman"/>
          <w:sz w:val="24"/>
          <w:szCs w:val="24"/>
        </w:rPr>
        <w:t xml:space="preserve">simplement </w:t>
      </w:r>
      <w:r w:rsidR="00B6051F">
        <w:rPr>
          <w:rFonts w:ascii="Times New Roman" w:hAnsi="Times New Roman" w:cs="Times New Roman"/>
          <w:sz w:val="24"/>
          <w:szCs w:val="24"/>
        </w:rPr>
        <w:t xml:space="preserve">entendre </w:t>
      </w:r>
      <w:r w:rsidRPr="00695693">
        <w:rPr>
          <w:rFonts w:ascii="Times New Roman" w:hAnsi="Times New Roman" w:cs="Times New Roman"/>
          <w:sz w:val="24"/>
          <w:szCs w:val="24"/>
        </w:rPr>
        <w:t>une mesure de transposition interne. Celle-ci est donc l’obligation faite à chaque Etat membre de s’approprier le dispositif communautaire. Elle suppose l’adoption au niveau de chaque Etat membre, d’un texte législatif ou règlementaire afin d’adapter leur droit positif aux textes communautaires. A cet effet, il sied de garder à l’esprit que, malgré cette procédure à respecter, le mécanisme du renvoi préjudiciel intègre dans son champ d’intervention des normes à application non immédiate. C’est ce qui se dégage clairement, à l’issu d’une interprétation large de la disposition de l’art. 10</w:t>
      </w:r>
      <w:r w:rsidR="00FC05FD" w:rsidRPr="00695693">
        <w:rPr>
          <w:rFonts w:ascii="Times New Roman" w:hAnsi="Times New Roman" w:cs="Times New Roman"/>
          <w:sz w:val="24"/>
          <w:szCs w:val="24"/>
        </w:rPr>
        <w:t>,</w:t>
      </w:r>
      <w:r w:rsidRPr="00695693">
        <w:rPr>
          <w:rFonts w:ascii="Times New Roman" w:hAnsi="Times New Roman" w:cs="Times New Roman"/>
          <w:sz w:val="24"/>
          <w:szCs w:val="24"/>
        </w:rPr>
        <w:t xml:space="preserve"> f du protocole d’Accra de 2005</w:t>
      </w:r>
      <w:r w:rsidRPr="00695693">
        <w:rPr>
          <w:rStyle w:val="Appelnotedebasdep"/>
          <w:rFonts w:ascii="Times New Roman" w:hAnsi="Times New Roman" w:cs="Times New Roman"/>
          <w:sz w:val="24"/>
          <w:szCs w:val="24"/>
        </w:rPr>
        <w:footnoteReference w:id="84"/>
      </w:r>
      <w:r w:rsidRPr="00695693">
        <w:rPr>
          <w:rFonts w:ascii="Times New Roman" w:hAnsi="Times New Roman" w:cs="Times New Roman"/>
          <w:sz w:val="24"/>
          <w:szCs w:val="24"/>
        </w:rPr>
        <w:t xml:space="preserve">. Ainsi, </w:t>
      </w:r>
      <w:r w:rsidRPr="00695693">
        <w:rPr>
          <w:rFonts w:ascii="Times New Roman" w:hAnsi="Times New Roman" w:cs="Times New Roman"/>
          <w:sz w:val="24"/>
          <w:szCs w:val="24"/>
        </w:rPr>
        <w:lastRenderedPageBreak/>
        <w:t>depuis l’adopt</w:t>
      </w:r>
      <w:r w:rsidR="00296536" w:rsidRPr="00695693">
        <w:rPr>
          <w:rFonts w:ascii="Times New Roman" w:hAnsi="Times New Roman" w:cs="Times New Roman"/>
          <w:sz w:val="24"/>
          <w:szCs w:val="24"/>
        </w:rPr>
        <w:t>ion du protocole d’Abuja du 14 j</w:t>
      </w:r>
      <w:r w:rsidRPr="00695693">
        <w:rPr>
          <w:rFonts w:ascii="Times New Roman" w:hAnsi="Times New Roman" w:cs="Times New Roman"/>
          <w:sz w:val="24"/>
          <w:szCs w:val="24"/>
        </w:rPr>
        <w:t>uin 2006, Portant amendement du Traité révisé de la CEDEAO, les normes d’application non immédiate regroupent les directives, les décisions, les recommandations et les Avis. C’est ce qui résulte pertinemment de la lettre et de l’esprit de l’art. 9</w:t>
      </w:r>
      <w:r w:rsidR="00FC72C4" w:rsidRPr="00695693">
        <w:rPr>
          <w:rFonts w:ascii="Times New Roman" w:hAnsi="Times New Roman" w:cs="Times New Roman"/>
          <w:sz w:val="24"/>
          <w:szCs w:val="24"/>
        </w:rPr>
        <w:t xml:space="preserve">, § </w:t>
      </w:r>
      <w:r w:rsidRPr="00695693">
        <w:rPr>
          <w:rFonts w:ascii="Times New Roman" w:hAnsi="Times New Roman" w:cs="Times New Roman"/>
          <w:sz w:val="24"/>
          <w:szCs w:val="24"/>
        </w:rPr>
        <w:t>1 du protocole précité</w:t>
      </w:r>
      <w:r w:rsidRPr="00695693">
        <w:rPr>
          <w:rStyle w:val="Appelnotedebasdep"/>
          <w:rFonts w:ascii="Times New Roman" w:hAnsi="Times New Roman" w:cs="Times New Roman"/>
          <w:sz w:val="24"/>
          <w:szCs w:val="24"/>
        </w:rPr>
        <w:footnoteReference w:id="85"/>
      </w:r>
      <w:r w:rsidRPr="00695693">
        <w:rPr>
          <w:rFonts w:ascii="Times New Roman" w:hAnsi="Times New Roman" w:cs="Times New Roman"/>
          <w:sz w:val="24"/>
          <w:szCs w:val="24"/>
        </w:rPr>
        <w:t>. Il en résulte que, ces actes se ramifient en deux groupes : les actes obligatoires et les actes non obligatoires. Les premiers renvoient aux directives</w:t>
      </w:r>
      <w:r w:rsidRPr="00695693">
        <w:rPr>
          <w:rStyle w:val="Appelnotedebasdep"/>
          <w:rFonts w:ascii="Times New Roman" w:hAnsi="Times New Roman" w:cs="Times New Roman"/>
          <w:sz w:val="24"/>
          <w:szCs w:val="24"/>
        </w:rPr>
        <w:footnoteReference w:id="86"/>
      </w:r>
      <w:r w:rsidRPr="00695693">
        <w:rPr>
          <w:rFonts w:ascii="Times New Roman" w:hAnsi="Times New Roman" w:cs="Times New Roman"/>
          <w:sz w:val="24"/>
          <w:szCs w:val="24"/>
        </w:rPr>
        <w:t xml:space="preserve"> et décisions</w:t>
      </w:r>
      <w:r w:rsidRPr="00695693">
        <w:rPr>
          <w:rStyle w:val="Appelnotedebasdep"/>
          <w:rFonts w:ascii="Times New Roman" w:hAnsi="Times New Roman" w:cs="Times New Roman"/>
          <w:sz w:val="24"/>
          <w:szCs w:val="24"/>
        </w:rPr>
        <w:footnoteReference w:id="87"/>
      </w:r>
      <w:r w:rsidRPr="00695693">
        <w:rPr>
          <w:rFonts w:ascii="Times New Roman" w:hAnsi="Times New Roman" w:cs="Times New Roman"/>
          <w:sz w:val="24"/>
          <w:szCs w:val="24"/>
        </w:rPr>
        <w:t xml:space="preserve"> et les seconds ont trait aux Avis et Recommandations</w:t>
      </w:r>
      <w:r w:rsidRPr="00695693">
        <w:rPr>
          <w:rStyle w:val="Appelnotedebasdep"/>
          <w:rFonts w:ascii="Times New Roman" w:hAnsi="Times New Roman" w:cs="Times New Roman"/>
          <w:sz w:val="24"/>
          <w:szCs w:val="24"/>
        </w:rPr>
        <w:footnoteReference w:id="88"/>
      </w:r>
      <w:r w:rsidRPr="00695693">
        <w:rPr>
          <w:rFonts w:ascii="Times New Roman" w:hAnsi="Times New Roman" w:cs="Times New Roman"/>
          <w:sz w:val="24"/>
          <w:szCs w:val="24"/>
        </w:rPr>
        <w:t>. A cet égard, il est à signaler que la technique du recours préjudiciel peut porter tant sur les actes obligatoires que sur les actes non obligatoires</w:t>
      </w:r>
      <w:r w:rsidR="00872C62">
        <w:rPr>
          <w:rStyle w:val="Appelnotedebasdep"/>
          <w:rFonts w:ascii="Times New Roman" w:hAnsi="Times New Roman" w:cs="Times New Roman"/>
          <w:sz w:val="24"/>
          <w:szCs w:val="24"/>
        </w:rPr>
        <w:footnoteReference w:id="89"/>
      </w:r>
      <w:r w:rsidRPr="00695693">
        <w:rPr>
          <w:rFonts w:ascii="Times New Roman" w:hAnsi="Times New Roman" w:cs="Times New Roman"/>
          <w:sz w:val="24"/>
          <w:szCs w:val="24"/>
        </w:rPr>
        <w:t xml:space="preserve">. </w:t>
      </w:r>
    </w:p>
    <w:p w:rsidR="00DB264A"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De son côté, l’UEMOA </w:t>
      </w:r>
      <w:r w:rsidRPr="00180993">
        <w:rPr>
          <w:rFonts w:ascii="Times New Roman" w:hAnsi="Times New Roman" w:cs="Times New Roman"/>
          <w:sz w:val="24"/>
          <w:szCs w:val="24"/>
        </w:rPr>
        <w:t xml:space="preserve">emprunte le même </w:t>
      </w:r>
      <w:r w:rsidRPr="00695693">
        <w:rPr>
          <w:rFonts w:ascii="Times New Roman" w:hAnsi="Times New Roman" w:cs="Times New Roman"/>
          <w:sz w:val="24"/>
          <w:szCs w:val="24"/>
        </w:rPr>
        <w:t>trajet puisque, depuis l’adoption du protocole d’Abuja de 2006, la nouvelle nomenclature des actes de l’UEMOA est identique à celle de la CEDEAO</w:t>
      </w:r>
      <w:r w:rsidRPr="00695693">
        <w:rPr>
          <w:rStyle w:val="Appelnotedebasdep"/>
          <w:rFonts w:ascii="Times New Roman" w:hAnsi="Times New Roman" w:cs="Times New Roman"/>
          <w:sz w:val="24"/>
          <w:szCs w:val="24"/>
        </w:rPr>
        <w:footnoteReference w:id="90"/>
      </w:r>
      <w:r w:rsidR="00296536" w:rsidRPr="00695693">
        <w:rPr>
          <w:rFonts w:ascii="Times New Roman" w:hAnsi="Times New Roman" w:cs="Times New Roman"/>
          <w:sz w:val="24"/>
          <w:szCs w:val="24"/>
        </w:rPr>
        <w:t xml:space="preserve">. </w:t>
      </w:r>
      <w:r w:rsidR="00180993">
        <w:rPr>
          <w:rFonts w:ascii="Times New Roman" w:hAnsi="Times New Roman" w:cs="Times New Roman"/>
          <w:sz w:val="24"/>
          <w:szCs w:val="24"/>
        </w:rPr>
        <w:t xml:space="preserve">Ce schéma est repris en droit de la CEMAC. En effet, </w:t>
      </w:r>
      <w:r w:rsidRPr="00695693">
        <w:rPr>
          <w:rFonts w:ascii="Times New Roman" w:hAnsi="Times New Roman" w:cs="Times New Roman"/>
          <w:sz w:val="24"/>
          <w:szCs w:val="24"/>
        </w:rPr>
        <w:t xml:space="preserve">la </w:t>
      </w:r>
      <w:r w:rsidR="005776AC" w:rsidRPr="00695693">
        <w:rPr>
          <w:rFonts w:ascii="Times New Roman" w:hAnsi="Times New Roman" w:cs="Times New Roman"/>
          <w:sz w:val="24"/>
          <w:szCs w:val="24"/>
        </w:rPr>
        <w:t xml:space="preserve">CJ/CEMAC </w:t>
      </w:r>
      <w:r w:rsidRPr="00695693">
        <w:rPr>
          <w:rFonts w:ascii="Times New Roman" w:hAnsi="Times New Roman" w:cs="Times New Roman"/>
          <w:sz w:val="24"/>
          <w:szCs w:val="24"/>
        </w:rPr>
        <w:t>a le mérite de se reconnaitre compétente pour statuer à titre préjudiciel sur l’interprétation ou l’appréciation de validité des actes annexés au Traité de base, peu importe que ces actes soient obligatoires ou non</w:t>
      </w:r>
      <w:r w:rsidRPr="00695693">
        <w:rPr>
          <w:rStyle w:val="Appelnotedebasdep"/>
          <w:rFonts w:ascii="Times New Roman" w:hAnsi="Times New Roman" w:cs="Times New Roman"/>
          <w:sz w:val="24"/>
          <w:szCs w:val="24"/>
        </w:rPr>
        <w:footnoteReference w:id="91"/>
      </w:r>
      <w:r w:rsidRPr="00695693">
        <w:rPr>
          <w:rFonts w:ascii="Times New Roman" w:hAnsi="Times New Roman" w:cs="Times New Roman"/>
          <w:sz w:val="24"/>
          <w:szCs w:val="24"/>
        </w:rPr>
        <w:t>. Il en est de même en droit COMESA où la Cour de justice est compétente pour statuer à titre préjudiciel tant sur les actes obligatoires que sur les actes non obligatoires. L’analyse de l’art. 10 du Traité du Marché commun de l’Afrique de l’Est et de l’Af</w:t>
      </w:r>
      <w:r w:rsidR="005776AC" w:rsidRPr="00695693">
        <w:rPr>
          <w:rFonts w:ascii="Times New Roman" w:hAnsi="Times New Roman" w:cs="Times New Roman"/>
          <w:sz w:val="24"/>
          <w:szCs w:val="24"/>
        </w:rPr>
        <w:t>rique Australe permet de ranger (</w:t>
      </w:r>
      <w:r w:rsidRPr="00695693">
        <w:rPr>
          <w:rFonts w:ascii="Times New Roman" w:hAnsi="Times New Roman" w:cs="Times New Roman"/>
          <w:sz w:val="24"/>
          <w:szCs w:val="24"/>
        </w:rPr>
        <w:t>outre les règlements</w:t>
      </w:r>
      <w:r w:rsidR="005776AC" w:rsidRPr="00695693">
        <w:rPr>
          <w:rFonts w:ascii="Times New Roman" w:hAnsi="Times New Roman" w:cs="Times New Roman"/>
          <w:sz w:val="24"/>
          <w:szCs w:val="24"/>
        </w:rPr>
        <w:t>)</w:t>
      </w:r>
      <w:r w:rsidRPr="00695693">
        <w:rPr>
          <w:rFonts w:ascii="Times New Roman" w:hAnsi="Times New Roman" w:cs="Times New Roman"/>
          <w:sz w:val="24"/>
          <w:szCs w:val="24"/>
        </w:rPr>
        <w:t xml:space="preserve"> les directives et décisions dans la catégorie des actes obligatoires ; et les avis et recommandation dans celle des actes non obligatoires</w:t>
      </w:r>
      <w:r w:rsidRPr="00695693">
        <w:rPr>
          <w:rStyle w:val="Appelnotedebasdep"/>
          <w:rFonts w:ascii="Times New Roman" w:hAnsi="Times New Roman" w:cs="Times New Roman"/>
          <w:sz w:val="24"/>
          <w:szCs w:val="24"/>
        </w:rPr>
        <w:footnoteReference w:id="92"/>
      </w:r>
      <w:r w:rsidR="00120676" w:rsidRPr="00695693">
        <w:rPr>
          <w:rFonts w:ascii="Times New Roman" w:hAnsi="Times New Roman" w:cs="Times New Roman"/>
          <w:sz w:val="24"/>
          <w:szCs w:val="24"/>
        </w:rPr>
        <w:t xml:space="preserve">.  </w:t>
      </w:r>
    </w:p>
    <w:p w:rsidR="00694424" w:rsidRPr="00695693" w:rsidRDefault="00120676"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lastRenderedPageBreak/>
        <w:t xml:space="preserve">En tout état de cause, force est de souligner que </w:t>
      </w:r>
      <w:r w:rsidR="00694424" w:rsidRPr="00695693">
        <w:rPr>
          <w:rFonts w:ascii="Times New Roman" w:hAnsi="Times New Roman" w:cs="Times New Roman"/>
          <w:sz w:val="24"/>
          <w:szCs w:val="24"/>
        </w:rPr>
        <w:t xml:space="preserve">l’existence d’une panoplie d’instruments juridiques, intéressant le recours préjudiciel, n’est pas une condition </w:t>
      </w:r>
      <w:r w:rsidR="00694424" w:rsidRPr="00695693">
        <w:rPr>
          <w:rFonts w:ascii="Times New Roman" w:hAnsi="Times New Roman" w:cs="Times New Roman"/>
          <w:i/>
          <w:sz w:val="24"/>
          <w:szCs w:val="24"/>
        </w:rPr>
        <w:t>sine qua non</w:t>
      </w:r>
      <w:r w:rsidR="00694424" w:rsidRPr="00695693">
        <w:rPr>
          <w:rFonts w:ascii="Times New Roman" w:hAnsi="Times New Roman" w:cs="Times New Roman"/>
          <w:sz w:val="24"/>
          <w:szCs w:val="24"/>
        </w:rPr>
        <w:t xml:space="preserve"> de l’effectivité dudit recours ; encore faut-il les mécanismes, c’est-à-dire les organes </w:t>
      </w:r>
      <w:r w:rsidR="005F23A0" w:rsidRPr="00695693">
        <w:rPr>
          <w:rFonts w:ascii="Times New Roman" w:hAnsi="Times New Roman" w:cs="Times New Roman"/>
          <w:sz w:val="24"/>
          <w:szCs w:val="24"/>
        </w:rPr>
        <w:t xml:space="preserve">intervenants dans la mise en œuvre du renvoi préjudiciel. </w:t>
      </w:r>
    </w:p>
    <w:p w:rsidR="00694424" w:rsidRPr="00695693" w:rsidRDefault="00694424" w:rsidP="007A4443">
      <w:pPr>
        <w:pStyle w:val="Titre3"/>
      </w:pPr>
      <w:bookmarkStart w:id="29" w:name="_Toc515108225"/>
      <w:bookmarkStart w:id="30" w:name="_Toc518671706"/>
      <w:bookmarkStart w:id="31" w:name="_Toc518672786"/>
      <w:r w:rsidRPr="00695693">
        <w:t>SECTION</w:t>
      </w:r>
      <w:r w:rsidR="0041608B" w:rsidRPr="00695693">
        <w:t xml:space="preserve"> II</w:t>
      </w:r>
      <w:r w:rsidRPr="00695693">
        <w:t> : LES ORGANES INTERVENANTS DANS LA MISE EN ŒUVRE DU RENVOI PREJUDICIEL</w:t>
      </w:r>
      <w:bookmarkEnd w:id="29"/>
      <w:bookmarkEnd w:id="30"/>
      <w:bookmarkEnd w:id="31"/>
    </w:p>
    <w:p w:rsidR="00694424" w:rsidRPr="00695693" w:rsidRDefault="0028168A" w:rsidP="006956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Ces  organes </w:t>
      </w:r>
      <w:r w:rsidR="00694424" w:rsidRPr="00695693">
        <w:rPr>
          <w:rFonts w:ascii="Times New Roman" w:hAnsi="Times New Roman" w:cs="Times New Roman"/>
          <w:sz w:val="24"/>
          <w:szCs w:val="24"/>
        </w:rPr>
        <w:t>r</w:t>
      </w:r>
      <w:r w:rsidR="00EA79B4" w:rsidRPr="00695693">
        <w:rPr>
          <w:rFonts w:ascii="Times New Roman" w:hAnsi="Times New Roman" w:cs="Times New Roman"/>
          <w:sz w:val="24"/>
          <w:szCs w:val="24"/>
        </w:rPr>
        <w:t>envoie</w:t>
      </w:r>
      <w:r>
        <w:rPr>
          <w:rFonts w:ascii="Times New Roman" w:hAnsi="Times New Roman" w:cs="Times New Roman"/>
          <w:sz w:val="24"/>
          <w:szCs w:val="24"/>
        </w:rPr>
        <w:t>nt</w:t>
      </w:r>
      <w:r w:rsidR="00122CFE">
        <w:rPr>
          <w:rFonts w:ascii="Times New Roman" w:hAnsi="Times New Roman" w:cs="Times New Roman"/>
          <w:sz w:val="24"/>
          <w:szCs w:val="24"/>
        </w:rPr>
        <w:t xml:space="preserve">aux </w:t>
      </w:r>
      <w:r w:rsidR="00EA79B4" w:rsidRPr="00695693">
        <w:rPr>
          <w:rFonts w:ascii="Times New Roman" w:hAnsi="Times New Roman" w:cs="Times New Roman"/>
          <w:sz w:val="24"/>
          <w:szCs w:val="24"/>
        </w:rPr>
        <w:t>différente</w:t>
      </w:r>
      <w:r w:rsidR="00694424" w:rsidRPr="00695693">
        <w:rPr>
          <w:rFonts w:ascii="Times New Roman" w:hAnsi="Times New Roman" w:cs="Times New Roman"/>
          <w:sz w:val="24"/>
          <w:szCs w:val="24"/>
        </w:rPr>
        <w:t xml:space="preserve">s </w:t>
      </w:r>
      <w:r w:rsidR="00EA79B4" w:rsidRPr="00695693">
        <w:rPr>
          <w:rFonts w:ascii="Times New Roman" w:hAnsi="Times New Roman" w:cs="Times New Roman"/>
          <w:sz w:val="24"/>
          <w:szCs w:val="24"/>
        </w:rPr>
        <w:t>juridictions autorisée</w:t>
      </w:r>
      <w:r w:rsidR="00D856B4" w:rsidRPr="00695693">
        <w:rPr>
          <w:rFonts w:ascii="Times New Roman" w:hAnsi="Times New Roman" w:cs="Times New Roman"/>
          <w:sz w:val="24"/>
          <w:szCs w:val="24"/>
        </w:rPr>
        <w:t>s à se rendre médiatrices</w:t>
      </w:r>
      <w:r w:rsidR="00694424" w:rsidRPr="00695693">
        <w:rPr>
          <w:rFonts w:ascii="Times New Roman" w:hAnsi="Times New Roman" w:cs="Times New Roman"/>
          <w:sz w:val="24"/>
          <w:szCs w:val="24"/>
        </w:rPr>
        <w:t xml:space="preserve"> dans la mise en œuvre de la </w:t>
      </w:r>
      <w:r w:rsidR="00550C25" w:rsidRPr="00695693">
        <w:rPr>
          <w:rFonts w:ascii="Times New Roman" w:hAnsi="Times New Roman" w:cs="Times New Roman"/>
          <w:sz w:val="24"/>
          <w:szCs w:val="24"/>
        </w:rPr>
        <w:t>procédure préjudicielle. J</w:t>
      </w:r>
      <w:r w:rsidR="00694424" w:rsidRPr="00695693">
        <w:rPr>
          <w:rFonts w:ascii="Times New Roman" w:hAnsi="Times New Roman" w:cs="Times New Roman"/>
          <w:sz w:val="24"/>
          <w:szCs w:val="24"/>
        </w:rPr>
        <w:t>uridiquement, le mot juridiction est employé pour désigner les organes qui sont dotés du pouvoir de dire le droit</w:t>
      </w:r>
      <w:r w:rsidR="00694424" w:rsidRPr="00695693">
        <w:rPr>
          <w:rStyle w:val="Appelnotedebasdep"/>
          <w:rFonts w:ascii="Times New Roman" w:hAnsi="Times New Roman" w:cs="Times New Roman"/>
          <w:sz w:val="24"/>
          <w:szCs w:val="24"/>
        </w:rPr>
        <w:footnoteReference w:id="93"/>
      </w:r>
      <w:r w:rsidR="00694424" w:rsidRPr="00695693">
        <w:rPr>
          <w:rFonts w:ascii="Times New Roman" w:hAnsi="Times New Roman" w:cs="Times New Roman"/>
          <w:sz w:val="24"/>
          <w:szCs w:val="24"/>
        </w:rPr>
        <w:t>. Ainsi, rappelons les termes de l’art. 10</w:t>
      </w:r>
      <w:r w:rsidR="003408B9" w:rsidRPr="00695693">
        <w:rPr>
          <w:rFonts w:ascii="Times New Roman" w:hAnsi="Times New Roman" w:cs="Times New Roman"/>
          <w:sz w:val="24"/>
          <w:szCs w:val="24"/>
        </w:rPr>
        <w:t>,</w:t>
      </w:r>
      <w:r w:rsidR="00694424" w:rsidRPr="00695693">
        <w:rPr>
          <w:rFonts w:ascii="Times New Roman" w:hAnsi="Times New Roman" w:cs="Times New Roman"/>
          <w:sz w:val="24"/>
          <w:szCs w:val="24"/>
        </w:rPr>
        <w:t xml:space="preserve"> f du protocole d’Accra de 2005 selon lequel, la Cour de justice de la Communauté CEDEAO peut être saisie par les juridictions nationales ou les parties concernées</w:t>
      </w:r>
      <w:r w:rsidR="002E48A2">
        <w:rPr>
          <w:rStyle w:val="Appelnotedebasdep"/>
          <w:rFonts w:ascii="Times New Roman" w:hAnsi="Times New Roman" w:cs="Times New Roman"/>
          <w:sz w:val="24"/>
          <w:szCs w:val="24"/>
        </w:rPr>
        <w:footnoteReference w:id="94"/>
      </w:r>
      <w:r w:rsidR="00694424" w:rsidRPr="00695693">
        <w:rPr>
          <w:rFonts w:ascii="Times New Roman" w:hAnsi="Times New Roman" w:cs="Times New Roman"/>
          <w:sz w:val="24"/>
          <w:szCs w:val="24"/>
        </w:rPr>
        <w:t xml:space="preserve"> lorsqu’elle doit statuer à titre préjudiciel. Cette disposition peut laisser croire à tort que, les parties ou leurs Conseils peuvent directement saisir la Cour de justice d’une question préjudicielle. Or, la</w:t>
      </w:r>
      <w:r w:rsidR="00E802D1">
        <w:rPr>
          <w:rFonts w:ascii="Times New Roman" w:hAnsi="Times New Roman" w:cs="Times New Roman"/>
          <w:sz w:val="24"/>
          <w:szCs w:val="24"/>
        </w:rPr>
        <w:t xml:space="preserve"> réalité est que le mécanisme du</w:t>
      </w:r>
      <w:r w:rsidR="00694424" w:rsidRPr="00695693">
        <w:rPr>
          <w:rFonts w:ascii="Times New Roman" w:hAnsi="Times New Roman" w:cs="Times New Roman"/>
          <w:sz w:val="24"/>
          <w:szCs w:val="24"/>
        </w:rPr>
        <w:t xml:space="preserve"> renvoi préjudiciel est une procédure de juge à juge écartant d’office toute possibilité pour les parties au litige de saisir directement le juge communautaire. </w:t>
      </w:r>
      <w:r w:rsidR="0020640D" w:rsidRPr="00695693">
        <w:rPr>
          <w:rFonts w:ascii="Times New Roman" w:hAnsi="Times New Roman" w:cs="Times New Roman"/>
          <w:sz w:val="24"/>
          <w:szCs w:val="24"/>
        </w:rPr>
        <w:t>L</w:t>
      </w:r>
      <w:r w:rsidR="00694424" w:rsidRPr="00695693">
        <w:rPr>
          <w:rFonts w:ascii="Times New Roman" w:hAnsi="Times New Roman" w:cs="Times New Roman"/>
          <w:sz w:val="24"/>
          <w:szCs w:val="24"/>
        </w:rPr>
        <w:t xml:space="preserve">a CJCE </w:t>
      </w:r>
      <w:r w:rsidR="0020640D" w:rsidRPr="00695693">
        <w:rPr>
          <w:rFonts w:ascii="Times New Roman" w:hAnsi="Times New Roman" w:cs="Times New Roman"/>
          <w:sz w:val="24"/>
          <w:szCs w:val="24"/>
        </w:rPr>
        <w:t xml:space="preserve">qualifie cette </w:t>
      </w:r>
      <w:r w:rsidR="00694424" w:rsidRPr="00695693">
        <w:rPr>
          <w:rFonts w:ascii="Times New Roman" w:hAnsi="Times New Roman" w:cs="Times New Roman"/>
          <w:sz w:val="24"/>
          <w:szCs w:val="24"/>
        </w:rPr>
        <w:t xml:space="preserve">procédure </w:t>
      </w:r>
      <w:r w:rsidR="0020640D" w:rsidRPr="00695693">
        <w:rPr>
          <w:rFonts w:ascii="Times New Roman" w:hAnsi="Times New Roman" w:cs="Times New Roman"/>
          <w:sz w:val="24"/>
          <w:szCs w:val="24"/>
        </w:rPr>
        <w:t xml:space="preserve">de </w:t>
      </w:r>
      <w:r w:rsidR="00694424" w:rsidRPr="00695693">
        <w:rPr>
          <w:rFonts w:ascii="Times New Roman" w:hAnsi="Times New Roman" w:cs="Times New Roman"/>
          <w:sz w:val="24"/>
          <w:szCs w:val="24"/>
        </w:rPr>
        <w:t>« </w:t>
      </w:r>
      <w:r w:rsidR="00694424" w:rsidRPr="00695693">
        <w:rPr>
          <w:rFonts w:ascii="Times New Roman" w:hAnsi="Times New Roman" w:cs="Times New Roman"/>
          <w:i/>
          <w:sz w:val="24"/>
          <w:szCs w:val="24"/>
        </w:rPr>
        <w:t>non contentieuse, étrangère à toute initiative des parties et au cours de laquelle celles-ci sont seulement invitées à se faire entendre</w:t>
      </w:r>
      <w:r w:rsidR="00694424" w:rsidRPr="00695693">
        <w:rPr>
          <w:rFonts w:ascii="Times New Roman" w:hAnsi="Times New Roman" w:cs="Times New Roman"/>
          <w:sz w:val="24"/>
          <w:szCs w:val="24"/>
        </w:rPr>
        <w:t> »</w:t>
      </w:r>
      <w:r w:rsidR="00694424" w:rsidRPr="00695693">
        <w:rPr>
          <w:rStyle w:val="Appelnotedebasdep"/>
          <w:rFonts w:ascii="Times New Roman" w:hAnsi="Times New Roman" w:cs="Times New Roman"/>
          <w:sz w:val="24"/>
          <w:szCs w:val="24"/>
        </w:rPr>
        <w:footnoteReference w:id="95"/>
      </w:r>
      <w:r w:rsidR="00694424" w:rsidRPr="00695693">
        <w:rPr>
          <w:rFonts w:ascii="Times New Roman" w:hAnsi="Times New Roman" w:cs="Times New Roman"/>
          <w:sz w:val="24"/>
          <w:szCs w:val="24"/>
        </w:rPr>
        <w:t xml:space="preserve">. </w:t>
      </w:r>
      <w:r w:rsidR="00C704A2" w:rsidRPr="00695693">
        <w:rPr>
          <w:rFonts w:ascii="Times New Roman" w:hAnsi="Times New Roman" w:cs="Times New Roman"/>
          <w:sz w:val="24"/>
          <w:szCs w:val="24"/>
        </w:rPr>
        <w:t xml:space="preserve">Dans tout le cas, l’on se contentera de noter </w:t>
      </w:r>
      <w:r w:rsidR="00694424" w:rsidRPr="00695693">
        <w:rPr>
          <w:rFonts w:ascii="Times New Roman" w:hAnsi="Times New Roman" w:cs="Times New Roman"/>
          <w:sz w:val="24"/>
          <w:szCs w:val="24"/>
        </w:rPr>
        <w:t>que l’art. 10</w:t>
      </w:r>
      <w:r w:rsidR="003408B9" w:rsidRPr="00695693">
        <w:rPr>
          <w:rFonts w:ascii="Times New Roman" w:hAnsi="Times New Roman" w:cs="Times New Roman"/>
          <w:sz w:val="24"/>
          <w:szCs w:val="24"/>
        </w:rPr>
        <w:t>,</w:t>
      </w:r>
      <w:r w:rsidR="00694424" w:rsidRPr="00695693">
        <w:rPr>
          <w:rFonts w:ascii="Times New Roman" w:hAnsi="Times New Roman" w:cs="Times New Roman"/>
          <w:sz w:val="24"/>
          <w:szCs w:val="24"/>
        </w:rPr>
        <w:t xml:space="preserve"> f du protocole précité ne laisse comprendre que</w:t>
      </w:r>
      <w:r w:rsidR="005776AC" w:rsidRPr="00695693">
        <w:rPr>
          <w:rFonts w:ascii="Times New Roman" w:hAnsi="Times New Roman" w:cs="Times New Roman"/>
          <w:sz w:val="24"/>
          <w:szCs w:val="24"/>
        </w:rPr>
        <w:t xml:space="preserve"> seule la juridiction nationale peu</w:t>
      </w:r>
      <w:r w:rsidR="0020640D" w:rsidRPr="00695693">
        <w:rPr>
          <w:rFonts w:ascii="Times New Roman" w:hAnsi="Times New Roman" w:cs="Times New Roman"/>
          <w:sz w:val="24"/>
          <w:szCs w:val="24"/>
        </w:rPr>
        <w:t>t procéder au renvoi préjudiciel</w:t>
      </w:r>
      <w:r w:rsidR="00694424" w:rsidRPr="00695693">
        <w:rPr>
          <w:rFonts w:ascii="Times New Roman" w:hAnsi="Times New Roman" w:cs="Times New Roman"/>
          <w:sz w:val="24"/>
          <w:szCs w:val="24"/>
        </w:rPr>
        <w:t xml:space="preserve"> (</w:t>
      </w:r>
      <w:r w:rsidR="0041608B" w:rsidRPr="00695693">
        <w:rPr>
          <w:rFonts w:ascii="Times New Roman" w:hAnsi="Times New Roman" w:cs="Times New Roman"/>
          <w:b/>
          <w:sz w:val="24"/>
          <w:szCs w:val="24"/>
        </w:rPr>
        <w:t>§ 1</w:t>
      </w:r>
      <w:r w:rsidR="00694424" w:rsidRPr="00695693">
        <w:rPr>
          <w:rFonts w:ascii="Times New Roman" w:hAnsi="Times New Roman" w:cs="Times New Roman"/>
          <w:sz w:val="24"/>
          <w:szCs w:val="24"/>
        </w:rPr>
        <w:t>)</w:t>
      </w:r>
      <w:r w:rsidR="0020640D" w:rsidRPr="00695693">
        <w:rPr>
          <w:rFonts w:ascii="Times New Roman" w:hAnsi="Times New Roman" w:cs="Times New Roman"/>
          <w:sz w:val="24"/>
          <w:szCs w:val="24"/>
        </w:rPr>
        <w:t xml:space="preserve">, qui ne pourra ensuite être examiné que par </w:t>
      </w:r>
      <w:r w:rsidR="00694424" w:rsidRPr="00695693">
        <w:rPr>
          <w:rFonts w:ascii="Times New Roman" w:hAnsi="Times New Roman" w:cs="Times New Roman"/>
          <w:sz w:val="24"/>
          <w:szCs w:val="24"/>
        </w:rPr>
        <w:t>la juridiction communautaire (</w:t>
      </w:r>
      <w:r w:rsidR="0041608B" w:rsidRPr="00695693">
        <w:rPr>
          <w:rFonts w:ascii="Times New Roman" w:hAnsi="Times New Roman" w:cs="Times New Roman"/>
          <w:b/>
          <w:sz w:val="24"/>
          <w:szCs w:val="24"/>
        </w:rPr>
        <w:t>§ 2</w:t>
      </w:r>
      <w:r w:rsidR="00694424" w:rsidRPr="00695693">
        <w:rPr>
          <w:rFonts w:ascii="Times New Roman" w:hAnsi="Times New Roman" w:cs="Times New Roman"/>
          <w:sz w:val="24"/>
          <w:szCs w:val="24"/>
        </w:rPr>
        <w:t xml:space="preserve">). </w:t>
      </w:r>
    </w:p>
    <w:p w:rsidR="00694424" w:rsidRPr="00802E04" w:rsidRDefault="0041608B" w:rsidP="002F7CA3">
      <w:pPr>
        <w:pStyle w:val="Titre4"/>
      </w:pPr>
      <w:bookmarkStart w:id="32" w:name="_Toc518672787"/>
      <w:r w:rsidRPr="00802E04">
        <w:t>§ 1</w:t>
      </w:r>
      <w:r w:rsidR="00694424" w:rsidRPr="00802E04">
        <w:t>: La juridiction nationale</w:t>
      </w:r>
      <w:bookmarkEnd w:id="32"/>
    </w:p>
    <w:p w:rsidR="0061517C"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L’analyse de l’art. 10</w:t>
      </w:r>
      <w:r w:rsidR="003408B9" w:rsidRPr="00695693">
        <w:rPr>
          <w:rFonts w:ascii="Times New Roman" w:hAnsi="Times New Roman" w:cs="Times New Roman"/>
          <w:sz w:val="24"/>
          <w:szCs w:val="24"/>
        </w:rPr>
        <w:t>,</w:t>
      </w:r>
      <w:r w:rsidRPr="00695693">
        <w:rPr>
          <w:rFonts w:ascii="Times New Roman" w:hAnsi="Times New Roman" w:cs="Times New Roman"/>
          <w:sz w:val="24"/>
          <w:szCs w:val="24"/>
        </w:rPr>
        <w:t xml:space="preserve"> f du prot</w:t>
      </w:r>
      <w:r w:rsidR="00FE1BDF">
        <w:rPr>
          <w:rFonts w:ascii="Times New Roman" w:hAnsi="Times New Roman" w:cs="Times New Roman"/>
          <w:sz w:val="24"/>
          <w:szCs w:val="24"/>
        </w:rPr>
        <w:t xml:space="preserve">ocole de 2005 </w:t>
      </w:r>
      <w:r w:rsidR="009D304F">
        <w:rPr>
          <w:rFonts w:ascii="Times New Roman" w:hAnsi="Times New Roman" w:cs="Times New Roman"/>
          <w:sz w:val="24"/>
          <w:szCs w:val="24"/>
        </w:rPr>
        <w:t xml:space="preserve">laisse </w:t>
      </w:r>
      <w:r w:rsidR="002615B2">
        <w:rPr>
          <w:rFonts w:ascii="Times New Roman" w:hAnsi="Times New Roman" w:cs="Times New Roman"/>
          <w:sz w:val="24"/>
          <w:szCs w:val="24"/>
        </w:rPr>
        <w:t>constater</w:t>
      </w:r>
      <w:r w:rsidR="00FE1BDF">
        <w:rPr>
          <w:rFonts w:ascii="Times New Roman" w:hAnsi="Times New Roman" w:cs="Times New Roman"/>
          <w:sz w:val="24"/>
          <w:szCs w:val="24"/>
        </w:rPr>
        <w:t>que</w:t>
      </w:r>
      <w:r w:rsidRPr="00695693">
        <w:rPr>
          <w:rFonts w:ascii="Times New Roman" w:hAnsi="Times New Roman" w:cs="Times New Roman"/>
          <w:sz w:val="24"/>
          <w:szCs w:val="24"/>
        </w:rPr>
        <w:t xml:space="preserve"> le renvoi doit provenir d’une juridiction nationale, c’est-à-dire d’un Etat membre de la Communauté. Ceci implique l’exclusion d’office des juridictions des Etats tiers ou d</w:t>
      </w:r>
      <w:r w:rsidR="00187AC8" w:rsidRPr="00695693">
        <w:rPr>
          <w:rFonts w:ascii="Times New Roman" w:hAnsi="Times New Roman" w:cs="Times New Roman"/>
          <w:sz w:val="24"/>
          <w:szCs w:val="24"/>
        </w:rPr>
        <w:t>es juridictions internationales</w:t>
      </w:r>
      <w:r w:rsidR="006A4569" w:rsidRPr="00695693">
        <w:rPr>
          <w:rFonts w:ascii="Times New Roman" w:hAnsi="Times New Roman" w:cs="Times New Roman"/>
          <w:sz w:val="24"/>
          <w:szCs w:val="24"/>
        </w:rPr>
        <w:t>,</w:t>
      </w:r>
      <w:r w:rsidR="00CA4153">
        <w:rPr>
          <w:rFonts w:ascii="Times New Roman" w:hAnsi="Times New Roman" w:cs="Times New Roman"/>
          <w:sz w:val="24"/>
          <w:szCs w:val="24"/>
        </w:rPr>
        <w:t xml:space="preserve"> et qu’il n’y a pas d’</w:t>
      </w:r>
      <w:r w:rsidR="00CA4153" w:rsidRPr="00CA4153">
        <w:rPr>
          <w:rFonts w:ascii="Times New Roman" w:hAnsi="Times New Roman" w:cs="Times New Roman"/>
          <w:sz w:val="24"/>
          <w:szCs w:val="24"/>
        </w:rPr>
        <w:t>incidence</w:t>
      </w:r>
      <w:r w:rsidR="00E8512A">
        <w:rPr>
          <w:rFonts w:ascii="Times New Roman" w:hAnsi="Times New Roman" w:cs="Times New Roman"/>
          <w:sz w:val="24"/>
          <w:szCs w:val="24"/>
        </w:rPr>
        <w:t>,</w:t>
      </w:r>
      <w:r w:rsidR="00CA4153" w:rsidRPr="00CA4153">
        <w:rPr>
          <w:rFonts w:ascii="Times New Roman" w:hAnsi="Times New Roman" w:cs="Times New Roman"/>
          <w:sz w:val="24"/>
          <w:szCs w:val="24"/>
        </w:rPr>
        <w:t xml:space="preserve"> sur l’habilitation à saisir la Cour de justice communautaire d’une question préjudicielle</w:t>
      </w:r>
      <w:r w:rsidR="00E8512A">
        <w:rPr>
          <w:rFonts w:ascii="Times New Roman" w:hAnsi="Times New Roman" w:cs="Times New Roman"/>
          <w:sz w:val="24"/>
          <w:szCs w:val="24"/>
        </w:rPr>
        <w:t>,</w:t>
      </w:r>
      <w:r w:rsidR="00CA4153">
        <w:rPr>
          <w:rFonts w:ascii="Times New Roman" w:hAnsi="Times New Roman" w:cs="Times New Roman"/>
          <w:sz w:val="24"/>
          <w:szCs w:val="24"/>
        </w:rPr>
        <w:t xml:space="preserve">entre </w:t>
      </w:r>
      <w:r w:rsidR="00187AC8" w:rsidRPr="00695693">
        <w:rPr>
          <w:rFonts w:ascii="Times New Roman" w:hAnsi="Times New Roman" w:cs="Times New Roman"/>
          <w:sz w:val="24"/>
          <w:szCs w:val="24"/>
        </w:rPr>
        <w:t xml:space="preserve">la nature </w:t>
      </w:r>
      <w:r w:rsidR="00187AC8" w:rsidRPr="005F5496">
        <w:rPr>
          <w:rFonts w:ascii="Times New Roman" w:hAnsi="Times New Roman" w:cs="Times New Roman"/>
          <w:b/>
          <w:sz w:val="24"/>
          <w:szCs w:val="24"/>
        </w:rPr>
        <w:t>(A)</w:t>
      </w:r>
      <w:r w:rsidR="00187AC8" w:rsidRPr="00695693">
        <w:rPr>
          <w:rFonts w:ascii="Times New Roman" w:hAnsi="Times New Roman" w:cs="Times New Roman"/>
          <w:sz w:val="24"/>
          <w:szCs w:val="24"/>
        </w:rPr>
        <w:t xml:space="preserve"> et le degré de la juridiction nationale </w:t>
      </w:r>
      <w:r w:rsidR="00187AC8" w:rsidRPr="005F5496">
        <w:rPr>
          <w:rFonts w:ascii="Times New Roman" w:hAnsi="Times New Roman" w:cs="Times New Roman"/>
          <w:b/>
          <w:sz w:val="24"/>
          <w:szCs w:val="24"/>
        </w:rPr>
        <w:t>(B)</w:t>
      </w:r>
      <w:r w:rsidR="00187AC8" w:rsidRPr="00695693">
        <w:rPr>
          <w:rFonts w:ascii="Times New Roman" w:hAnsi="Times New Roman" w:cs="Times New Roman"/>
          <w:sz w:val="24"/>
          <w:szCs w:val="24"/>
        </w:rPr>
        <w:t>.</w:t>
      </w:r>
    </w:p>
    <w:p w:rsidR="00694424" w:rsidRPr="00802E04" w:rsidRDefault="00694424" w:rsidP="0037430F">
      <w:pPr>
        <w:pStyle w:val="Titre5"/>
      </w:pPr>
      <w:bookmarkStart w:id="33" w:name="_Toc518672788"/>
      <w:r w:rsidRPr="00802E04">
        <w:lastRenderedPageBreak/>
        <w:t>A.   La nature de la juridiction nationale</w:t>
      </w:r>
      <w:bookmarkEnd w:id="33"/>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L</w:t>
      </w:r>
      <w:r w:rsidR="00996757" w:rsidRPr="00695693">
        <w:rPr>
          <w:rFonts w:ascii="Times New Roman" w:hAnsi="Times New Roman" w:cs="Times New Roman"/>
          <w:sz w:val="24"/>
          <w:szCs w:val="24"/>
        </w:rPr>
        <w:t>a faculté de soumettre</w:t>
      </w:r>
      <w:r w:rsidRPr="00695693">
        <w:rPr>
          <w:rFonts w:ascii="Times New Roman" w:hAnsi="Times New Roman" w:cs="Times New Roman"/>
          <w:sz w:val="24"/>
          <w:szCs w:val="24"/>
        </w:rPr>
        <w:t xml:space="preserve"> à la Cour de ju</w:t>
      </w:r>
      <w:r w:rsidR="005A1DBD" w:rsidRPr="00695693">
        <w:rPr>
          <w:rFonts w:ascii="Times New Roman" w:hAnsi="Times New Roman" w:cs="Times New Roman"/>
          <w:sz w:val="24"/>
          <w:szCs w:val="24"/>
        </w:rPr>
        <w:t xml:space="preserve">stice de la communauté CEDEAO </w:t>
      </w:r>
      <w:r w:rsidRPr="00695693">
        <w:rPr>
          <w:rFonts w:ascii="Times New Roman" w:hAnsi="Times New Roman" w:cs="Times New Roman"/>
          <w:sz w:val="24"/>
          <w:szCs w:val="24"/>
        </w:rPr>
        <w:t>une question préjudicielle, en interprétation ou en validité, est donnée aux juridictions nationales conformément aux dispositions de l’art. 10</w:t>
      </w:r>
      <w:r w:rsidR="00A727B3" w:rsidRPr="00695693">
        <w:rPr>
          <w:rFonts w:ascii="Times New Roman" w:hAnsi="Times New Roman" w:cs="Times New Roman"/>
          <w:sz w:val="24"/>
          <w:szCs w:val="24"/>
        </w:rPr>
        <w:t>,</w:t>
      </w:r>
      <w:r w:rsidRPr="00695693">
        <w:rPr>
          <w:rFonts w:ascii="Times New Roman" w:hAnsi="Times New Roman" w:cs="Times New Roman"/>
          <w:sz w:val="24"/>
          <w:szCs w:val="24"/>
        </w:rPr>
        <w:t xml:space="preserve"> f du protocole d’Accra de 2005. La notion de juridiction nationale à laquelle il est fait référence ici absorbe « </w:t>
      </w:r>
      <w:r w:rsidRPr="00695693">
        <w:rPr>
          <w:rFonts w:ascii="Times New Roman" w:hAnsi="Times New Roman" w:cs="Times New Roman"/>
          <w:i/>
          <w:sz w:val="24"/>
          <w:szCs w:val="24"/>
        </w:rPr>
        <w:t>l’une quelconque des juridictions composant le pouvoir ou l’autorité judiciaire, qu’elle se situe en première instance, en appel ou au niveau de la cassation </w:t>
      </w:r>
      <w:r w:rsidRPr="00695693">
        <w:rPr>
          <w:rFonts w:ascii="Times New Roman" w:hAnsi="Times New Roman" w:cs="Times New Roman"/>
          <w:sz w:val="24"/>
          <w:szCs w:val="24"/>
        </w:rPr>
        <w:t>»</w:t>
      </w:r>
      <w:r w:rsidRPr="00695693">
        <w:rPr>
          <w:rStyle w:val="Appelnotedebasdep"/>
          <w:rFonts w:ascii="Times New Roman" w:hAnsi="Times New Roman" w:cs="Times New Roman"/>
          <w:sz w:val="24"/>
          <w:szCs w:val="24"/>
        </w:rPr>
        <w:footnoteReference w:id="96"/>
      </w:r>
      <w:r w:rsidR="00431195" w:rsidRPr="00695693">
        <w:rPr>
          <w:rFonts w:ascii="Times New Roman" w:hAnsi="Times New Roman" w:cs="Times New Roman"/>
          <w:sz w:val="24"/>
          <w:szCs w:val="24"/>
        </w:rPr>
        <w:t xml:space="preserve"> et «</w:t>
      </w:r>
      <w:r w:rsidR="00431195" w:rsidRPr="00695693">
        <w:rPr>
          <w:rFonts w:ascii="Times New Roman" w:hAnsi="Times New Roman" w:cs="Times New Roman"/>
          <w:i/>
          <w:sz w:val="24"/>
          <w:szCs w:val="24"/>
        </w:rPr>
        <w:t>quelles que soient les compétences, répressives ou non, dans lesquelles le droit judiciaire national peut les spécialiser</w:t>
      </w:r>
      <w:r w:rsidR="00431195" w:rsidRPr="00695693">
        <w:rPr>
          <w:rFonts w:ascii="Times New Roman" w:hAnsi="Times New Roman" w:cs="Times New Roman"/>
          <w:sz w:val="24"/>
          <w:szCs w:val="24"/>
        </w:rPr>
        <w:t xml:space="preserve"> »</w:t>
      </w:r>
      <w:r w:rsidR="00431195" w:rsidRPr="00695693">
        <w:rPr>
          <w:rStyle w:val="Appelnotedebasdep"/>
          <w:rFonts w:ascii="Times New Roman" w:hAnsi="Times New Roman" w:cs="Times New Roman"/>
          <w:sz w:val="24"/>
          <w:szCs w:val="24"/>
        </w:rPr>
        <w:footnoteReference w:id="97"/>
      </w:r>
      <w:r w:rsidR="00431195" w:rsidRPr="00695693">
        <w:rPr>
          <w:rFonts w:ascii="Times New Roman" w:hAnsi="Times New Roman" w:cs="Times New Roman"/>
          <w:sz w:val="24"/>
          <w:szCs w:val="24"/>
        </w:rPr>
        <w:t>.</w:t>
      </w:r>
      <w:r w:rsidRPr="00695693">
        <w:rPr>
          <w:rFonts w:ascii="Times New Roman" w:hAnsi="Times New Roman" w:cs="Times New Roman"/>
          <w:sz w:val="24"/>
          <w:szCs w:val="24"/>
        </w:rPr>
        <w:t xml:space="preserve"> Toutefois, </w:t>
      </w:r>
      <w:r w:rsidR="00B17373">
        <w:rPr>
          <w:rFonts w:ascii="Times New Roman" w:hAnsi="Times New Roman" w:cs="Times New Roman"/>
          <w:sz w:val="24"/>
          <w:szCs w:val="24"/>
        </w:rPr>
        <w:t>la CJCE dit que cette</w:t>
      </w:r>
      <w:r w:rsidR="00D3728F" w:rsidRPr="00695693">
        <w:rPr>
          <w:rFonts w:ascii="Times New Roman" w:hAnsi="Times New Roman" w:cs="Times New Roman"/>
          <w:sz w:val="24"/>
          <w:szCs w:val="24"/>
        </w:rPr>
        <w:t xml:space="preserve"> notion de la juridiction doit </w:t>
      </w:r>
      <w:r w:rsidR="00790FA6" w:rsidRPr="00695693">
        <w:rPr>
          <w:rFonts w:ascii="Times New Roman" w:hAnsi="Times New Roman" w:cs="Times New Roman"/>
          <w:sz w:val="24"/>
          <w:szCs w:val="24"/>
        </w:rPr>
        <w:t>être</w:t>
      </w:r>
      <w:r w:rsidR="00D3728F" w:rsidRPr="00695693">
        <w:rPr>
          <w:rFonts w:ascii="Times New Roman" w:hAnsi="Times New Roman" w:cs="Times New Roman"/>
          <w:sz w:val="24"/>
          <w:szCs w:val="24"/>
        </w:rPr>
        <w:t xml:space="preserve"> entendue au sens communautaire et non de sa qualification en droit interne</w:t>
      </w:r>
      <w:r w:rsidR="00D3728F" w:rsidRPr="00695693">
        <w:rPr>
          <w:rStyle w:val="Appelnotedebasdep"/>
          <w:rFonts w:ascii="Times New Roman" w:hAnsi="Times New Roman" w:cs="Times New Roman"/>
          <w:sz w:val="24"/>
          <w:szCs w:val="24"/>
        </w:rPr>
        <w:footnoteReference w:id="98"/>
      </w:r>
      <w:r w:rsidR="00790FA6" w:rsidRPr="00695693">
        <w:rPr>
          <w:rFonts w:ascii="Times New Roman" w:hAnsi="Times New Roman" w:cs="Times New Roman"/>
          <w:sz w:val="24"/>
          <w:szCs w:val="24"/>
        </w:rPr>
        <w:t xml:space="preserve">. </w:t>
      </w:r>
      <w:r w:rsidR="00956E55">
        <w:rPr>
          <w:rFonts w:ascii="Times New Roman" w:hAnsi="Times New Roman" w:cs="Times New Roman"/>
          <w:sz w:val="24"/>
          <w:szCs w:val="24"/>
        </w:rPr>
        <w:t>Pour ce faire, e</w:t>
      </w:r>
      <w:r w:rsidR="00790FA6" w:rsidRPr="00695693">
        <w:rPr>
          <w:rFonts w:ascii="Times New Roman" w:hAnsi="Times New Roman" w:cs="Times New Roman"/>
          <w:sz w:val="24"/>
          <w:szCs w:val="24"/>
        </w:rPr>
        <w:t>lle doit donc répondre aux critères suivant : l’origine légale, la permanence, la juridiction obligatoire, la juridiction en droit et l’application d’une procédure contradictoire analogue à celle pratiquée devant les juridictions de droit commun</w:t>
      </w:r>
      <w:r w:rsidR="00790FA6" w:rsidRPr="00695693">
        <w:rPr>
          <w:rStyle w:val="Appelnotedebasdep"/>
          <w:rFonts w:ascii="Times New Roman" w:hAnsi="Times New Roman" w:cs="Times New Roman"/>
          <w:sz w:val="24"/>
          <w:szCs w:val="24"/>
        </w:rPr>
        <w:footnoteReference w:id="99"/>
      </w:r>
      <w:r w:rsidR="00810B9C" w:rsidRPr="00695693">
        <w:rPr>
          <w:rFonts w:ascii="Times New Roman" w:hAnsi="Times New Roman" w:cs="Times New Roman"/>
          <w:sz w:val="24"/>
          <w:szCs w:val="24"/>
        </w:rPr>
        <w:t xml:space="preserve">. </w:t>
      </w:r>
      <w:r w:rsidR="00956E55">
        <w:rPr>
          <w:rFonts w:ascii="Times New Roman" w:hAnsi="Times New Roman" w:cs="Times New Roman"/>
          <w:sz w:val="24"/>
          <w:szCs w:val="24"/>
        </w:rPr>
        <w:t>A partir de ces critères, on peut remarquer que la notion de juridiction revêt un double aspect : un aspect organique</w:t>
      </w:r>
      <w:r w:rsidR="00956E55">
        <w:rPr>
          <w:rStyle w:val="Appelnotedebasdep"/>
          <w:rFonts w:ascii="Times New Roman" w:hAnsi="Times New Roman" w:cs="Times New Roman"/>
          <w:sz w:val="24"/>
          <w:szCs w:val="24"/>
        </w:rPr>
        <w:footnoteReference w:id="100"/>
      </w:r>
      <w:r w:rsidR="00956E55">
        <w:rPr>
          <w:rFonts w:ascii="Times New Roman" w:hAnsi="Times New Roman" w:cs="Times New Roman"/>
          <w:sz w:val="24"/>
          <w:szCs w:val="24"/>
        </w:rPr>
        <w:t xml:space="preserve"> et un aspect fonctionnel</w:t>
      </w:r>
      <w:r w:rsidR="00956E55">
        <w:rPr>
          <w:rStyle w:val="Appelnotedebasdep"/>
          <w:rFonts w:ascii="Times New Roman" w:hAnsi="Times New Roman" w:cs="Times New Roman"/>
          <w:sz w:val="24"/>
          <w:szCs w:val="24"/>
        </w:rPr>
        <w:footnoteReference w:id="101"/>
      </w:r>
      <w:r w:rsidR="00956E55">
        <w:rPr>
          <w:rFonts w:ascii="Times New Roman" w:hAnsi="Times New Roman" w:cs="Times New Roman"/>
          <w:sz w:val="24"/>
          <w:szCs w:val="24"/>
        </w:rPr>
        <w:t xml:space="preserve">. </w:t>
      </w:r>
      <w:r w:rsidR="00810B9C" w:rsidRPr="009B63E7">
        <w:rPr>
          <w:rFonts w:ascii="Times New Roman" w:hAnsi="Times New Roman" w:cs="Times New Roman"/>
          <w:sz w:val="24"/>
          <w:szCs w:val="24"/>
        </w:rPr>
        <w:t>Cependant</w:t>
      </w:r>
      <w:r w:rsidR="00810B9C" w:rsidRPr="00695693">
        <w:rPr>
          <w:rFonts w:ascii="Times New Roman" w:hAnsi="Times New Roman" w:cs="Times New Roman"/>
          <w:sz w:val="24"/>
          <w:szCs w:val="24"/>
        </w:rPr>
        <w:t xml:space="preserve">, </w:t>
      </w:r>
      <w:r w:rsidR="00C56402" w:rsidRPr="00695693">
        <w:rPr>
          <w:rFonts w:ascii="Times New Roman" w:hAnsi="Times New Roman" w:cs="Times New Roman"/>
          <w:sz w:val="24"/>
          <w:szCs w:val="24"/>
        </w:rPr>
        <w:t>il s’en</w:t>
      </w:r>
      <w:r w:rsidRPr="00695693">
        <w:rPr>
          <w:rFonts w:ascii="Times New Roman" w:hAnsi="Times New Roman" w:cs="Times New Roman"/>
          <w:sz w:val="24"/>
          <w:szCs w:val="24"/>
        </w:rPr>
        <w:t>suit que le</w:t>
      </w:r>
      <w:r w:rsidR="003D3A62" w:rsidRPr="00695693">
        <w:rPr>
          <w:rFonts w:ascii="Times New Roman" w:hAnsi="Times New Roman" w:cs="Times New Roman"/>
          <w:sz w:val="24"/>
          <w:szCs w:val="24"/>
        </w:rPr>
        <w:t xml:space="preserve">sorganes </w:t>
      </w:r>
      <w:r w:rsidR="000142AD" w:rsidRPr="00695693">
        <w:rPr>
          <w:rFonts w:ascii="Times New Roman" w:hAnsi="Times New Roman" w:cs="Times New Roman"/>
          <w:sz w:val="24"/>
          <w:szCs w:val="24"/>
        </w:rPr>
        <w:t>nationa</w:t>
      </w:r>
      <w:r w:rsidR="003D3A62" w:rsidRPr="00695693">
        <w:rPr>
          <w:rFonts w:ascii="Times New Roman" w:hAnsi="Times New Roman" w:cs="Times New Roman"/>
          <w:sz w:val="24"/>
          <w:szCs w:val="24"/>
        </w:rPr>
        <w:t>ux</w:t>
      </w:r>
      <w:r w:rsidR="000142AD" w:rsidRPr="00695693">
        <w:rPr>
          <w:rFonts w:ascii="Times New Roman" w:hAnsi="Times New Roman" w:cs="Times New Roman"/>
          <w:sz w:val="24"/>
          <w:szCs w:val="24"/>
        </w:rPr>
        <w:t xml:space="preserve"> ne peu</w:t>
      </w:r>
      <w:r w:rsidR="003D3A62" w:rsidRPr="00695693">
        <w:rPr>
          <w:rFonts w:ascii="Times New Roman" w:hAnsi="Times New Roman" w:cs="Times New Roman"/>
          <w:sz w:val="24"/>
          <w:szCs w:val="24"/>
        </w:rPr>
        <w:t>ven</w:t>
      </w:r>
      <w:r w:rsidR="000142AD" w:rsidRPr="00695693">
        <w:rPr>
          <w:rFonts w:ascii="Times New Roman" w:hAnsi="Times New Roman" w:cs="Times New Roman"/>
          <w:sz w:val="24"/>
          <w:szCs w:val="24"/>
        </w:rPr>
        <w:t xml:space="preserve">t </w:t>
      </w:r>
      <w:r w:rsidR="00D77475">
        <w:rPr>
          <w:rFonts w:ascii="Times New Roman" w:hAnsi="Times New Roman" w:cs="Times New Roman"/>
          <w:sz w:val="24"/>
          <w:szCs w:val="24"/>
        </w:rPr>
        <w:t xml:space="preserve">effectuer </w:t>
      </w:r>
      <w:r w:rsidR="000142AD" w:rsidRPr="00695693">
        <w:rPr>
          <w:rFonts w:ascii="Times New Roman" w:hAnsi="Times New Roman" w:cs="Times New Roman"/>
          <w:sz w:val="24"/>
          <w:szCs w:val="24"/>
        </w:rPr>
        <w:t>un</w:t>
      </w:r>
      <w:r w:rsidRPr="00695693">
        <w:rPr>
          <w:rFonts w:ascii="Times New Roman" w:hAnsi="Times New Roman" w:cs="Times New Roman"/>
          <w:sz w:val="24"/>
          <w:szCs w:val="24"/>
        </w:rPr>
        <w:t xml:space="preserve"> recours préjudiciel que lorsqu’il</w:t>
      </w:r>
      <w:r w:rsidR="003D3A62" w:rsidRPr="00695693">
        <w:rPr>
          <w:rFonts w:ascii="Times New Roman" w:hAnsi="Times New Roman" w:cs="Times New Roman"/>
          <w:sz w:val="24"/>
          <w:szCs w:val="24"/>
        </w:rPr>
        <w:t>s</w:t>
      </w:r>
      <w:r w:rsidRPr="00695693">
        <w:rPr>
          <w:rFonts w:ascii="Times New Roman" w:hAnsi="Times New Roman" w:cs="Times New Roman"/>
          <w:sz w:val="24"/>
          <w:szCs w:val="24"/>
        </w:rPr>
        <w:t xml:space="preserve"> se situe</w:t>
      </w:r>
      <w:r w:rsidR="003D3A62" w:rsidRPr="00695693">
        <w:rPr>
          <w:rFonts w:ascii="Times New Roman" w:hAnsi="Times New Roman" w:cs="Times New Roman"/>
          <w:sz w:val="24"/>
          <w:szCs w:val="24"/>
        </w:rPr>
        <w:t>nt</w:t>
      </w:r>
      <w:r w:rsidRPr="00695693">
        <w:rPr>
          <w:rFonts w:ascii="Times New Roman" w:hAnsi="Times New Roman" w:cs="Times New Roman"/>
          <w:sz w:val="24"/>
          <w:szCs w:val="24"/>
        </w:rPr>
        <w:t xml:space="preserve"> dans une séquence procédurale où il</w:t>
      </w:r>
      <w:r w:rsidR="003D3A62" w:rsidRPr="00695693">
        <w:rPr>
          <w:rFonts w:ascii="Times New Roman" w:hAnsi="Times New Roman" w:cs="Times New Roman"/>
          <w:sz w:val="24"/>
          <w:szCs w:val="24"/>
        </w:rPr>
        <w:t xml:space="preserve">s </w:t>
      </w:r>
      <w:r w:rsidRPr="00695693">
        <w:rPr>
          <w:rFonts w:ascii="Times New Roman" w:hAnsi="Times New Roman" w:cs="Times New Roman"/>
          <w:sz w:val="24"/>
          <w:szCs w:val="24"/>
        </w:rPr>
        <w:t>s</w:t>
      </w:r>
      <w:r w:rsidR="003D3A62" w:rsidRPr="00695693">
        <w:rPr>
          <w:rFonts w:ascii="Times New Roman" w:hAnsi="Times New Roman" w:cs="Times New Roman"/>
          <w:sz w:val="24"/>
          <w:szCs w:val="24"/>
        </w:rPr>
        <w:t>on</w:t>
      </w:r>
      <w:r w:rsidRPr="00695693">
        <w:rPr>
          <w:rFonts w:ascii="Times New Roman" w:hAnsi="Times New Roman" w:cs="Times New Roman"/>
          <w:sz w:val="24"/>
          <w:szCs w:val="24"/>
        </w:rPr>
        <w:t>t appelé</w:t>
      </w:r>
      <w:r w:rsidR="003D3A62" w:rsidRPr="00695693">
        <w:rPr>
          <w:rFonts w:ascii="Times New Roman" w:hAnsi="Times New Roman" w:cs="Times New Roman"/>
          <w:sz w:val="24"/>
          <w:szCs w:val="24"/>
        </w:rPr>
        <w:t>s</w:t>
      </w:r>
      <w:r w:rsidRPr="00695693">
        <w:rPr>
          <w:rFonts w:ascii="Times New Roman" w:hAnsi="Times New Roman" w:cs="Times New Roman"/>
          <w:sz w:val="24"/>
          <w:szCs w:val="24"/>
        </w:rPr>
        <w:t xml:space="preserve"> à trancher un litige pourvu qu’il</w:t>
      </w:r>
      <w:r w:rsidR="003D3A62" w:rsidRPr="00695693">
        <w:rPr>
          <w:rFonts w:ascii="Times New Roman" w:hAnsi="Times New Roman" w:cs="Times New Roman"/>
          <w:sz w:val="24"/>
          <w:szCs w:val="24"/>
        </w:rPr>
        <w:t xml:space="preserve">s </w:t>
      </w:r>
      <w:r w:rsidR="00D77475" w:rsidRPr="00695693">
        <w:rPr>
          <w:rFonts w:ascii="Times New Roman" w:hAnsi="Times New Roman" w:cs="Times New Roman"/>
          <w:sz w:val="24"/>
          <w:szCs w:val="24"/>
        </w:rPr>
        <w:t>aient</w:t>
      </w:r>
      <w:r w:rsidRPr="00695693">
        <w:rPr>
          <w:rFonts w:ascii="Times New Roman" w:hAnsi="Times New Roman" w:cs="Times New Roman"/>
          <w:sz w:val="24"/>
          <w:szCs w:val="24"/>
        </w:rPr>
        <w:t xml:space="preserve"> besoin de l’arrêt de la</w:t>
      </w:r>
      <w:r w:rsidR="003D3A62" w:rsidRPr="00695693">
        <w:rPr>
          <w:rFonts w:ascii="Times New Roman" w:hAnsi="Times New Roman" w:cs="Times New Roman"/>
          <w:sz w:val="24"/>
          <w:szCs w:val="24"/>
        </w:rPr>
        <w:t xml:space="preserve"> Cour pour rendre leur</w:t>
      </w:r>
      <w:r w:rsidR="00E85604" w:rsidRPr="00695693">
        <w:rPr>
          <w:rFonts w:ascii="Times New Roman" w:hAnsi="Times New Roman" w:cs="Times New Roman"/>
          <w:sz w:val="24"/>
          <w:szCs w:val="24"/>
        </w:rPr>
        <w:t xml:space="preserve"> jugement. </w:t>
      </w:r>
      <w:r w:rsidR="00F5091C" w:rsidRPr="00695693">
        <w:rPr>
          <w:rFonts w:ascii="Times New Roman" w:hAnsi="Times New Roman" w:cs="Times New Roman"/>
          <w:sz w:val="24"/>
          <w:szCs w:val="24"/>
        </w:rPr>
        <w:t>Il peut s’agir d</w:t>
      </w:r>
      <w:r w:rsidRPr="00695693">
        <w:rPr>
          <w:rFonts w:ascii="Times New Roman" w:hAnsi="Times New Roman" w:cs="Times New Roman"/>
          <w:sz w:val="24"/>
          <w:szCs w:val="24"/>
        </w:rPr>
        <w:t>es organes</w:t>
      </w:r>
      <w:r w:rsidR="00F5091C" w:rsidRPr="00695693">
        <w:rPr>
          <w:rFonts w:ascii="Times New Roman" w:hAnsi="Times New Roman" w:cs="Times New Roman"/>
          <w:sz w:val="24"/>
          <w:szCs w:val="24"/>
        </w:rPr>
        <w:t xml:space="preserve"> relevant</w:t>
      </w:r>
      <w:r w:rsidRPr="00695693">
        <w:rPr>
          <w:rFonts w:ascii="Times New Roman" w:hAnsi="Times New Roman" w:cs="Times New Roman"/>
          <w:sz w:val="24"/>
          <w:szCs w:val="24"/>
        </w:rPr>
        <w:t xml:space="preserve"> de la structure judiciaire des Etats parties ou des organes administra</w:t>
      </w:r>
      <w:r w:rsidR="00A36A5D">
        <w:rPr>
          <w:rFonts w:ascii="Times New Roman" w:hAnsi="Times New Roman" w:cs="Times New Roman"/>
          <w:sz w:val="24"/>
          <w:szCs w:val="24"/>
        </w:rPr>
        <w:t>tifs à caractère juridictionnel, et même des juridictions constitutionnelles</w:t>
      </w:r>
      <w:r w:rsidR="00A36A5D">
        <w:rPr>
          <w:rStyle w:val="Appelnotedebasdep"/>
          <w:rFonts w:ascii="Times New Roman" w:hAnsi="Times New Roman" w:cs="Times New Roman"/>
          <w:sz w:val="24"/>
          <w:szCs w:val="24"/>
        </w:rPr>
        <w:footnoteReference w:id="102"/>
      </w:r>
      <w:r w:rsidR="00A36A5D">
        <w:rPr>
          <w:rFonts w:ascii="Times New Roman" w:hAnsi="Times New Roman" w:cs="Times New Roman"/>
          <w:sz w:val="24"/>
          <w:szCs w:val="24"/>
        </w:rPr>
        <w:t>.</w:t>
      </w:r>
    </w:p>
    <w:p w:rsidR="00E8560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lastRenderedPageBreak/>
        <w:t xml:space="preserve">S’agissant des organes de la structure judiciaire des Etats membres, l’Avocat général DAMASO Ruiz </w:t>
      </w:r>
      <w:r w:rsidR="00C30228" w:rsidRPr="00695693">
        <w:rPr>
          <w:rFonts w:ascii="Times New Roman" w:hAnsi="Times New Roman" w:cs="Times New Roman"/>
          <w:sz w:val="24"/>
          <w:szCs w:val="24"/>
        </w:rPr>
        <w:t>JARABO Colomer exprimait que : « </w:t>
      </w:r>
      <w:r w:rsidRPr="00695693">
        <w:rPr>
          <w:rFonts w:ascii="Times New Roman" w:hAnsi="Times New Roman" w:cs="Times New Roman"/>
          <w:i/>
          <w:sz w:val="24"/>
          <w:szCs w:val="24"/>
        </w:rPr>
        <w:t>conformément au principe de l’unité et de l’exclusivité juridictionnelle,</w:t>
      </w:r>
      <w:r w:rsidR="0049098E" w:rsidRPr="00695693">
        <w:rPr>
          <w:rFonts w:ascii="Times New Roman" w:hAnsi="Times New Roman" w:cs="Times New Roman"/>
          <w:i/>
          <w:sz w:val="24"/>
          <w:szCs w:val="24"/>
        </w:rPr>
        <w:t xml:space="preserve">..., </w:t>
      </w:r>
      <w:r w:rsidRPr="00695693">
        <w:rPr>
          <w:rFonts w:ascii="Times New Roman" w:hAnsi="Times New Roman" w:cs="Times New Roman"/>
          <w:i/>
          <w:sz w:val="24"/>
          <w:szCs w:val="24"/>
        </w:rPr>
        <w:t xml:space="preserve">les organes de renvoi ne peuvent être que des organes judiciaires, c’est-à-dire ceux qui se sont vus attribuer à titre expressément </w:t>
      </w:r>
      <w:r w:rsidR="00810B9C" w:rsidRPr="00695693">
        <w:rPr>
          <w:rFonts w:ascii="Times New Roman" w:hAnsi="Times New Roman" w:cs="Times New Roman"/>
          <w:i/>
          <w:sz w:val="24"/>
          <w:szCs w:val="24"/>
        </w:rPr>
        <w:t>le pouvoir de juger… (Point 84)</w:t>
      </w:r>
      <w:r w:rsidR="00810B9C" w:rsidRPr="00695693">
        <w:rPr>
          <w:rFonts w:ascii="Times New Roman" w:hAnsi="Times New Roman" w:cs="Times New Roman"/>
          <w:sz w:val="24"/>
          <w:szCs w:val="24"/>
        </w:rPr>
        <w:t>»</w:t>
      </w:r>
      <w:r w:rsidRPr="00695693">
        <w:rPr>
          <w:rStyle w:val="Appelnotedebasdep"/>
          <w:rFonts w:ascii="Times New Roman" w:hAnsi="Times New Roman" w:cs="Times New Roman"/>
          <w:sz w:val="24"/>
          <w:szCs w:val="24"/>
        </w:rPr>
        <w:footnoteReference w:id="103"/>
      </w:r>
      <w:r w:rsidR="00E85604" w:rsidRPr="00695693">
        <w:rPr>
          <w:rFonts w:ascii="Times New Roman" w:hAnsi="Times New Roman" w:cs="Times New Roman"/>
          <w:sz w:val="24"/>
          <w:szCs w:val="24"/>
        </w:rPr>
        <w:t xml:space="preserve">. </w:t>
      </w:r>
      <w:r w:rsidRPr="00695693">
        <w:rPr>
          <w:rFonts w:ascii="Times New Roman" w:hAnsi="Times New Roman" w:cs="Times New Roman"/>
          <w:sz w:val="24"/>
          <w:szCs w:val="24"/>
        </w:rPr>
        <w:t xml:space="preserve">Ces propos de l’Avocat DAMASO </w:t>
      </w:r>
      <w:r w:rsidR="00DA4A23">
        <w:rPr>
          <w:rFonts w:ascii="Times New Roman" w:hAnsi="Times New Roman" w:cs="Times New Roman"/>
          <w:sz w:val="24"/>
          <w:szCs w:val="24"/>
        </w:rPr>
        <w:t xml:space="preserve">sont critiquables </w:t>
      </w:r>
      <w:r w:rsidR="00667D8D">
        <w:rPr>
          <w:rFonts w:ascii="Times New Roman" w:hAnsi="Times New Roman" w:cs="Times New Roman"/>
          <w:sz w:val="24"/>
          <w:szCs w:val="24"/>
        </w:rPr>
        <w:t xml:space="preserve">dans la mesure où </w:t>
      </w:r>
      <w:r w:rsidR="00DA4A23">
        <w:rPr>
          <w:rFonts w:ascii="Times New Roman" w:hAnsi="Times New Roman" w:cs="Times New Roman"/>
          <w:sz w:val="24"/>
          <w:szCs w:val="24"/>
        </w:rPr>
        <w:t xml:space="preserve">ils </w:t>
      </w:r>
      <w:r w:rsidRPr="00695693">
        <w:rPr>
          <w:rFonts w:ascii="Times New Roman" w:hAnsi="Times New Roman" w:cs="Times New Roman"/>
          <w:sz w:val="24"/>
          <w:szCs w:val="24"/>
        </w:rPr>
        <w:t xml:space="preserve">tendent à limiter </w:t>
      </w:r>
      <w:r w:rsidR="00667D8D">
        <w:rPr>
          <w:rFonts w:ascii="Times New Roman" w:hAnsi="Times New Roman" w:cs="Times New Roman"/>
          <w:sz w:val="24"/>
          <w:szCs w:val="24"/>
        </w:rPr>
        <w:t xml:space="preserve">la saisine de la Cour en matière préjudicielle </w:t>
      </w:r>
      <w:r w:rsidRPr="00695693">
        <w:rPr>
          <w:rFonts w:ascii="Times New Roman" w:hAnsi="Times New Roman" w:cs="Times New Roman"/>
          <w:sz w:val="24"/>
          <w:szCs w:val="24"/>
        </w:rPr>
        <w:t>aux seuls organes faisant partie de la structure judiciaire d’un Etat partie à la Communauté.L’expression « structure judiciaire d’un Etat partie »</w:t>
      </w:r>
      <w:r w:rsidRPr="00695693">
        <w:rPr>
          <w:rStyle w:val="Appelnotedebasdep"/>
          <w:rFonts w:ascii="Times New Roman" w:hAnsi="Times New Roman" w:cs="Times New Roman"/>
          <w:sz w:val="24"/>
          <w:szCs w:val="24"/>
        </w:rPr>
        <w:footnoteReference w:id="104"/>
      </w:r>
      <w:r w:rsidRPr="00695693">
        <w:rPr>
          <w:rFonts w:ascii="Times New Roman" w:hAnsi="Times New Roman" w:cs="Times New Roman"/>
          <w:sz w:val="24"/>
          <w:szCs w:val="24"/>
        </w:rPr>
        <w:t xml:space="preserve"> renvoie aux Cours et Tribunaux relevant du système judiciaire d’un Etat membre. L’expression vise aussi les juridictions d’instructions.</w:t>
      </w:r>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Dans le système européen, la Cour de justice a accepté le renvoi par un juge d’instruction bien qu’il instruise une affaire pénale mais qu’il ne juge pas</w:t>
      </w:r>
      <w:r w:rsidRPr="00695693">
        <w:rPr>
          <w:rStyle w:val="Appelnotedebasdep"/>
          <w:rFonts w:ascii="Times New Roman" w:hAnsi="Times New Roman" w:cs="Times New Roman"/>
          <w:sz w:val="24"/>
          <w:szCs w:val="24"/>
        </w:rPr>
        <w:footnoteReference w:id="105"/>
      </w:r>
      <w:r w:rsidR="005A3D76" w:rsidRPr="00695693">
        <w:rPr>
          <w:rFonts w:ascii="Times New Roman" w:hAnsi="Times New Roman" w:cs="Times New Roman"/>
          <w:sz w:val="24"/>
          <w:szCs w:val="24"/>
        </w:rPr>
        <w:t xml:space="preserve">. </w:t>
      </w:r>
      <w:r w:rsidRPr="00695693">
        <w:rPr>
          <w:rFonts w:ascii="Times New Roman" w:hAnsi="Times New Roman" w:cs="Times New Roman"/>
          <w:sz w:val="24"/>
          <w:szCs w:val="24"/>
        </w:rPr>
        <w:t>De même, le caractère d’une juridiction a été reconnu à un Tribunal d’arbitrage catégoriel, c’est-à-dire celui dont ni la composition, ni la compétence n’étaient laissées à la décision des parties</w:t>
      </w:r>
      <w:r w:rsidRPr="00695693">
        <w:rPr>
          <w:rStyle w:val="Appelnotedebasdep"/>
          <w:rFonts w:ascii="Times New Roman" w:hAnsi="Times New Roman" w:cs="Times New Roman"/>
          <w:sz w:val="24"/>
          <w:szCs w:val="24"/>
        </w:rPr>
        <w:footnoteReference w:id="106"/>
      </w:r>
      <w:r w:rsidRPr="00695693">
        <w:rPr>
          <w:rFonts w:ascii="Times New Roman" w:hAnsi="Times New Roman" w:cs="Times New Roman"/>
          <w:sz w:val="24"/>
          <w:szCs w:val="24"/>
        </w:rPr>
        <w:t>. En revanche, le</w:t>
      </w:r>
      <w:r w:rsidR="005F1825">
        <w:rPr>
          <w:rFonts w:ascii="Times New Roman" w:hAnsi="Times New Roman" w:cs="Times New Roman"/>
          <w:sz w:val="24"/>
          <w:szCs w:val="24"/>
        </w:rPr>
        <w:t>s arbitres privés ne sont pas considérés comme des juridictions des Etats membres, susceptibles de poser une question préjudicielle</w:t>
      </w:r>
      <w:r w:rsidRPr="00695693">
        <w:rPr>
          <w:rStyle w:val="Appelnotedebasdep"/>
          <w:rFonts w:ascii="Times New Roman" w:hAnsi="Times New Roman" w:cs="Times New Roman"/>
          <w:sz w:val="24"/>
          <w:szCs w:val="24"/>
        </w:rPr>
        <w:footnoteReference w:id="107"/>
      </w:r>
      <w:r w:rsidR="002D0CE3">
        <w:rPr>
          <w:rFonts w:ascii="Times New Roman" w:hAnsi="Times New Roman" w:cs="Times New Roman"/>
          <w:sz w:val="24"/>
          <w:szCs w:val="24"/>
        </w:rPr>
        <w:t xml:space="preserve">, en raisondu </w:t>
      </w:r>
      <w:r w:rsidRPr="00695693">
        <w:rPr>
          <w:rFonts w:ascii="Times New Roman" w:hAnsi="Times New Roman" w:cs="Times New Roman"/>
          <w:sz w:val="24"/>
          <w:szCs w:val="24"/>
        </w:rPr>
        <w:t>caractère purement facultatif du recours à ce mod</w:t>
      </w:r>
      <w:r w:rsidR="002D0CE3">
        <w:rPr>
          <w:rFonts w:ascii="Times New Roman" w:hAnsi="Times New Roman" w:cs="Times New Roman"/>
          <w:sz w:val="24"/>
          <w:szCs w:val="24"/>
        </w:rPr>
        <w:t>e de règlement des litiges, et d</w:t>
      </w:r>
      <w:r w:rsidRPr="00695693">
        <w:rPr>
          <w:rFonts w:ascii="Times New Roman" w:hAnsi="Times New Roman" w:cs="Times New Roman"/>
          <w:sz w:val="24"/>
          <w:szCs w:val="24"/>
        </w:rPr>
        <w:t>u caractère purement privé de la convention passée entre les parties pour saisir l’arbitre</w:t>
      </w:r>
      <w:r w:rsidRPr="00695693">
        <w:rPr>
          <w:rStyle w:val="Appelnotedebasdep"/>
          <w:rFonts w:ascii="Times New Roman" w:hAnsi="Times New Roman" w:cs="Times New Roman"/>
          <w:sz w:val="24"/>
          <w:szCs w:val="24"/>
        </w:rPr>
        <w:footnoteReference w:id="108"/>
      </w:r>
      <w:r w:rsidRPr="00695693">
        <w:rPr>
          <w:rFonts w:ascii="Times New Roman" w:hAnsi="Times New Roman" w:cs="Times New Roman"/>
          <w:sz w:val="24"/>
          <w:szCs w:val="24"/>
        </w:rPr>
        <w:t>. Au regard de ces différents cas d’espèce, on peut du coup croire qu’en l’état rien n’empêche d’affirmer que la Cour de justice de la Communauté CEDEAO, qui n’a pas encore eu l’opportunité de se prononcer</w:t>
      </w:r>
      <w:r w:rsidR="00A139CB" w:rsidRPr="00695693">
        <w:rPr>
          <w:rFonts w:ascii="Times New Roman" w:hAnsi="Times New Roman" w:cs="Times New Roman"/>
          <w:sz w:val="24"/>
          <w:szCs w:val="24"/>
        </w:rPr>
        <w:t xml:space="preserve"> en matière préjudicielle</w:t>
      </w:r>
      <w:r w:rsidRPr="00695693">
        <w:rPr>
          <w:rFonts w:ascii="Times New Roman" w:hAnsi="Times New Roman" w:cs="Times New Roman"/>
          <w:sz w:val="24"/>
          <w:szCs w:val="24"/>
        </w:rPr>
        <w:t xml:space="preserve">, peut s’aligner sur la doctrine établie par le juge européen. Au niveau de l’UEMOA, on peut retenir, </w:t>
      </w:r>
      <w:r w:rsidRPr="00695693">
        <w:rPr>
          <w:rFonts w:ascii="Times New Roman" w:hAnsi="Times New Roman" w:cs="Times New Roman"/>
          <w:sz w:val="24"/>
          <w:szCs w:val="24"/>
        </w:rPr>
        <w:lastRenderedPageBreak/>
        <w:t>parmi les juridictions judiciaires quiont eu l’occasion de saisir la Cour de justice en matière préjudicielle, la Cour de cassation du Burkina Faso</w:t>
      </w:r>
      <w:r w:rsidRPr="00695693">
        <w:rPr>
          <w:rStyle w:val="Appelnotedebasdep"/>
          <w:rFonts w:ascii="Times New Roman" w:hAnsi="Times New Roman" w:cs="Times New Roman"/>
          <w:sz w:val="24"/>
          <w:szCs w:val="24"/>
        </w:rPr>
        <w:footnoteReference w:id="109"/>
      </w:r>
      <w:r w:rsidRPr="00695693">
        <w:rPr>
          <w:rFonts w:ascii="Times New Roman" w:hAnsi="Times New Roman" w:cs="Times New Roman"/>
          <w:sz w:val="24"/>
          <w:szCs w:val="24"/>
        </w:rPr>
        <w:t xml:space="preserve"> et la Cour d’appel de Lomé</w:t>
      </w:r>
      <w:r w:rsidRPr="00695693">
        <w:rPr>
          <w:rStyle w:val="Appelnotedebasdep"/>
          <w:rFonts w:ascii="Times New Roman" w:hAnsi="Times New Roman" w:cs="Times New Roman"/>
          <w:sz w:val="24"/>
          <w:szCs w:val="24"/>
        </w:rPr>
        <w:footnoteReference w:id="110"/>
      </w:r>
      <w:r w:rsidRPr="00695693">
        <w:rPr>
          <w:rFonts w:ascii="Times New Roman" w:hAnsi="Times New Roman" w:cs="Times New Roman"/>
          <w:sz w:val="24"/>
          <w:szCs w:val="24"/>
        </w:rPr>
        <w:t>.</w:t>
      </w:r>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S’agissant des organes administratifs à caractère juridictionnel, notons qu’à la différence de ce que soutient l’Avocat DAMASO</w:t>
      </w:r>
      <w:r w:rsidRPr="00695693">
        <w:rPr>
          <w:rStyle w:val="Appelnotedebasdep"/>
          <w:rFonts w:ascii="Times New Roman" w:hAnsi="Times New Roman" w:cs="Times New Roman"/>
          <w:sz w:val="24"/>
          <w:szCs w:val="24"/>
        </w:rPr>
        <w:footnoteReference w:id="111"/>
      </w:r>
      <w:r w:rsidRPr="00695693">
        <w:rPr>
          <w:rFonts w:ascii="Times New Roman" w:hAnsi="Times New Roman" w:cs="Times New Roman"/>
          <w:sz w:val="24"/>
          <w:szCs w:val="24"/>
        </w:rPr>
        <w:t>, il est aujourd’hui admis que certains organismes non judiciaires peuvent effectivement exercer des fonctions juridictionnelles et être amenés dans ce cas à appliquer des normes communautaires.Entrent dans cette catégorie, les organes administrat</w:t>
      </w:r>
      <w:r w:rsidR="00DE2EAA" w:rsidRPr="00695693">
        <w:rPr>
          <w:rFonts w:ascii="Times New Roman" w:hAnsi="Times New Roman" w:cs="Times New Roman"/>
          <w:sz w:val="24"/>
          <w:szCs w:val="24"/>
        </w:rPr>
        <w:t>ifs à caractère juridictionnel. C</w:t>
      </w:r>
      <w:r w:rsidR="00DC319D" w:rsidRPr="00695693">
        <w:rPr>
          <w:rFonts w:ascii="Times New Roman" w:hAnsi="Times New Roman" w:cs="Times New Roman"/>
          <w:sz w:val="24"/>
          <w:szCs w:val="24"/>
        </w:rPr>
        <w:t xml:space="preserve">ontrairement à ce qui </w:t>
      </w:r>
      <w:r w:rsidRPr="00695693">
        <w:rPr>
          <w:rFonts w:ascii="Times New Roman" w:hAnsi="Times New Roman" w:cs="Times New Roman"/>
          <w:sz w:val="24"/>
          <w:szCs w:val="24"/>
        </w:rPr>
        <w:t>est établi dans le système UEMOA</w:t>
      </w:r>
      <w:r w:rsidR="005C3A4E" w:rsidRPr="00695693">
        <w:rPr>
          <w:rFonts w:ascii="Times New Roman" w:hAnsi="Times New Roman" w:cs="Times New Roman"/>
          <w:sz w:val="24"/>
          <w:szCs w:val="24"/>
        </w:rPr>
        <w:t xml:space="preserve"> et européen</w:t>
      </w:r>
      <w:r w:rsidRPr="00695693">
        <w:rPr>
          <w:rFonts w:ascii="Times New Roman" w:hAnsi="Times New Roman" w:cs="Times New Roman"/>
          <w:sz w:val="24"/>
          <w:szCs w:val="24"/>
        </w:rPr>
        <w:t xml:space="preserve">, le législateur CEDEAO n’institue pas clairement un droit de saisine en faveur de tels organismes. </w:t>
      </w:r>
      <w:r w:rsidR="005C3A4E" w:rsidRPr="00695693">
        <w:rPr>
          <w:rFonts w:ascii="Times New Roman" w:hAnsi="Times New Roman" w:cs="Times New Roman"/>
          <w:sz w:val="24"/>
          <w:szCs w:val="24"/>
        </w:rPr>
        <w:t>Cependant</w:t>
      </w:r>
      <w:r w:rsidRPr="00695693">
        <w:rPr>
          <w:rFonts w:ascii="Times New Roman" w:hAnsi="Times New Roman" w:cs="Times New Roman"/>
          <w:sz w:val="24"/>
          <w:szCs w:val="24"/>
        </w:rPr>
        <w:t xml:space="preserve">, pour être considéré comme une juridiction nationale au sens communautaire, l’organe administratif en question doit répondre aux critères </w:t>
      </w:r>
      <w:r w:rsidR="00C9024F" w:rsidRPr="00695693">
        <w:rPr>
          <w:rFonts w:ascii="Times New Roman" w:hAnsi="Times New Roman" w:cs="Times New Roman"/>
          <w:sz w:val="24"/>
          <w:szCs w:val="24"/>
        </w:rPr>
        <w:t xml:space="preserve">ci-dessus </w:t>
      </w:r>
      <w:r w:rsidRPr="00695693">
        <w:rPr>
          <w:rFonts w:ascii="Times New Roman" w:hAnsi="Times New Roman" w:cs="Times New Roman"/>
          <w:sz w:val="24"/>
          <w:szCs w:val="24"/>
        </w:rPr>
        <w:t>énumérés.</w:t>
      </w:r>
      <w:r w:rsidR="003557EA" w:rsidRPr="00695693">
        <w:rPr>
          <w:rFonts w:ascii="Times New Roman" w:hAnsi="Times New Roman" w:cs="Times New Roman"/>
          <w:sz w:val="24"/>
          <w:szCs w:val="24"/>
        </w:rPr>
        <w:t>En droit CEDEAO</w:t>
      </w:r>
      <w:r w:rsidRPr="00695693">
        <w:rPr>
          <w:rFonts w:ascii="Times New Roman" w:hAnsi="Times New Roman" w:cs="Times New Roman"/>
          <w:sz w:val="24"/>
          <w:szCs w:val="24"/>
        </w:rPr>
        <w:t>, on notera que rien ne s’oppose à ce que le juge CEDEAO emboite le pas de s</w:t>
      </w:r>
      <w:r w:rsidR="00646D8D">
        <w:rPr>
          <w:rFonts w:ascii="Times New Roman" w:hAnsi="Times New Roman" w:cs="Times New Roman"/>
          <w:sz w:val="24"/>
          <w:szCs w:val="24"/>
        </w:rPr>
        <w:t xml:space="preserve">es </w:t>
      </w:r>
      <w:r w:rsidRPr="00695693">
        <w:rPr>
          <w:rFonts w:ascii="Times New Roman" w:hAnsi="Times New Roman" w:cs="Times New Roman"/>
          <w:sz w:val="24"/>
          <w:szCs w:val="24"/>
        </w:rPr>
        <w:t xml:space="preserve"> homologue</w:t>
      </w:r>
      <w:r w:rsidR="00646D8D">
        <w:rPr>
          <w:rFonts w:ascii="Times New Roman" w:hAnsi="Times New Roman" w:cs="Times New Roman"/>
          <w:sz w:val="24"/>
          <w:szCs w:val="24"/>
        </w:rPr>
        <w:t xml:space="preserve">sUEMOA et </w:t>
      </w:r>
      <w:r w:rsidRPr="00695693">
        <w:rPr>
          <w:rFonts w:ascii="Times New Roman" w:hAnsi="Times New Roman" w:cs="Times New Roman"/>
          <w:sz w:val="24"/>
          <w:szCs w:val="24"/>
        </w:rPr>
        <w:t xml:space="preserve">européen au sujet de la constatation de ces critères en vue d’octroyer le caractère d’une juridiction à un organe </w:t>
      </w:r>
      <w:r w:rsidR="003557EA" w:rsidRPr="00695693">
        <w:rPr>
          <w:rFonts w:ascii="Times New Roman" w:hAnsi="Times New Roman" w:cs="Times New Roman"/>
          <w:sz w:val="24"/>
          <w:szCs w:val="24"/>
        </w:rPr>
        <w:t xml:space="preserve">administratif </w:t>
      </w:r>
      <w:r w:rsidRPr="00695693">
        <w:rPr>
          <w:rFonts w:ascii="Times New Roman" w:hAnsi="Times New Roman" w:cs="Times New Roman"/>
          <w:sz w:val="24"/>
          <w:szCs w:val="24"/>
        </w:rPr>
        <w:t>d’un Etat membre de la Communauté, quel que soit</w:t>
      </w:r>
      <w:r w:rsidR="007B3001" w:rsidRPr="00695693">
        <w:rPr>
          <w:rFonts w:ascii="Times New Roman" w:hAnsi="Times New Roman" w:cs="Times New Roman"/>
          <w:sz w:val="24"/>
          <w:szCs w:val="24"/>
        </w:rPr>
        <w:t xml:space="preserve"> le degré de la juridiction nationale</w:t>
      </w:r>
      <w:r w:rsidRPr="00695693">
        <w:rPr>
          <w:rFonts w:ascii="Times New Roman" w:hAnsi="Times New Roman" w:cs="Times New Roman"/>
          <w:sz w:val="24"/>
          <w:szCs w:val="24"/>
        </w:rPr>
        <w:t>.</w:t>
      </w:r>
    </w:p>
    <w:p w:rsidR="00694424" w:rsidRPr="00802E04" w:rsidRDefault="00694424" w:rsidP="0037430F">
      <w:pPr>
        <w:pStyle w:val="Titre5"/>
      </w:pPr>
      <w:bookmarkStart w:id="34" w:name="_Toc518672789"/>
      <w:r w:rsidRPr="00802E04">
        <w:t>B. Le degré de la juridiction</w:t>
      </w:r>
      <w:r w:rsidR="006A1236" w:rsidRPr="00802E04">
        <w:t xml:space="preserve"> nationale</w:t>
      </w:r>
      <w:bookmarkEnd w:id="34"/>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En règle générale, toute juridiction d’un Etat partie à la Communauté, quelle que soit sa place dans le système juridictionnel interne et quelle que soit sa compétence territoriale ou d’attribution, dès lors qu’elle estime qu’une décision de la Cour de justice est nécessaire pour rendre son jugement, peut la saisir</w:t>
      </w:r>
      <w:r w:rsidR="004105CC">
        <w:rPr>
          <w:rStyle w:val="Appelnotedebasdep"/>
          <w:rFonts w:ascii="Times New Roman" w:hAnsi="Times New Roman" w:cs="Times New Roman"/>
          <w:sz w:val="24"/>
          <w:szCs w:val="24"/>
        </w:rPr>
        <w:footnoteReference w:id="112"/>
      </w:r>
      <w:r w:rsidRPr="00695693">
        <w:rPr>
          <w:rFonts w:ascii="Times New Roman" w:hAnsi="Times New Roman" w:cs="Times New Roman"/>
          <w:sz w:val="24"/>
          <w:szCs w:val="24"/>
        </w:rPr>
        <w:t xml:space="preserve">. </w:t>
      </w:r>
      <w:r w:rsidR="00F11BEB">
        <w:rPr>
          <w:rFonts w:ascii="Times New Roman" w:hAnsi="Times New Roman" w:cs="Times New Roman"/>
          <w:sz w:val="24"/>
          <w:szCs w:val="24"/>
        </w:rPr>
        <w:t xml:space="preserve">Le </w:t>
      </w:r>
      <w:r w:rsidRPr="00695693">
        <w:rPr>
          <w:rFonts w:ascii="Times New Roman" w:hAnsi="Times New Roman" w:cs="Times New Roman"/>
          <w:sz w:val="24"/>
          <w:szCs w:val="24"/>
        </w:rPr>
        <w:t xml:space="preserve">degré de la juridiction au plan national est </w:t>
      </w:r>
      <w:r w:rsidR="00F11BEB">
        <w:rPr>
          <w:rFonts w:ascii="Times New Roman" w:hAnsi="Times New Roman" w:cs="Times New Roman"/>
          <w:sz w:val="24"/>
          <w:szCs w:val="24"/>
        </w:rPr>
        <w:t xml:space="preserve">donc </w:t>
      </w:r>
      <w:r w:rsidRPr="00695693">
        <w:rPr>
          <w:rFonts w:ascii="Times New Roman" w:hAnsi="Times New Roman" w:cs="Times New Roman"/>
          <w:sz w:val="24"/>
          <w:szCs w:val="24"/>
        </w:rPr>
        <w:t>sans impact sur la qualité à saisir la Cour de justice d’une question préjudicielle soit en interprétation, soit en appréciation de la validité d’un acte de la Communauté. Le fondement d’une telle idée est à rechercher dans le protocole qui consacre le recours préjudiciel en droit CEDEAO</w:t>
      </w:r>
      <w:r w:rsidRPr="00695693">
        <w:rPr>
          <w:rStyle w:val="Appelnotedebasdep"/>
          <w:rFonts w:ascii="Times New Roman" w:hAnsi="Times New Roman" w:cs="Times New Roman"/>
          <w:sz w:val="24"/>
          <w:szCs w:val="24"/>
        </w:rPr>
        <w:footnoteReference w:id="113"/>
      </w:r>
      <w:r w:rsidRPr="00695693">
        <w:rPr>
          <w:rFonts w:ascii="Times New Roman" w:hAnsi="Times New Roman" w:cs="Times New Roman"/>
          <w:sz w:val="24"/>
          <w:szCs w:val="24"/>
        </w:rPr>
        <w:t>. Ainsi, contrairement à c</w:t>
      </w:r>
      <w:r w:rsidR="00FD0900" w:rsidRPr="00695693">
        <w:rPr>
          <w:rFonts w:ascii="Times New Roman" w:hAnsi="Times New Roman" w:cs="Times New Roman"/>
          <w:sz w:val="24"/>
          <w:szCs w:val="24"/>
        </w:rPr>
        <w:t>e qui est marqué au niveau de l’</w:t>
      </w:r>
      <w:r w:rsidRPr="00695693">
        <w:rPr>
          <w:rFonts w:ascii="Times New Roman" w:hAnsi="Times New Roman" w:cs="Times New Roman"/>
          <w:sz w:val="24"/>
          <w:szCs w:val="24"/>
        </w:rPr>
        <w:t>UEMOA</w:t>
      </w:r>
      <w:r w:rsidRPr="00695693">
        <w:rPr>
          <w:rStyle w:val="Appelnotedebasdep"/>
          <w:rFonts w:ascii="Times New Roman" w:hAnsi="Times New Roman" w:cs="Times New Roman"/>
          <w:sz w:val="24"/>
          <w:szCs w:val="24"/>
        </w:rPr>
        <w:footnoteReference w:id="114"/>
      </w:r>
      <w:r w:rsidR="00FD0900" w:rsidRPr="00695693">
        <w:rPr>
          <w:rFonts w:ascii="Times New Roman" w:hAnsi="Times New Roman" w:cs="Times New Roman"/>
          <w:sz w:val="24"/>
          <w:szCs w:val="24"/>
        </w:rPr>
        <w:t xml:space="preserve">, </w:t>
      </w:r>
      <w:r w:rsidR="009B7920" w:rsidRPr="00695693">
        <w:rPr>
          <w:rFonts w:ascii="Times New Roman" w:hAnsi="Times New Roman" w:cs="Times New Roman"/>
          <w:sz w:val="24"/>
          <w:szCs w:val="24"/>
        </w:rPr>
        <w:t xml:space="preserve">de </w:t>
      </w:r>
      <w:r w:rsidR="00FD0900" w:rsidRPr="00695693">
        <w:rPr>
          <w:rFonts w:ascii="Times New Roman" w:hAnsi="Times New Roman" w:cs="Times New Roman"/>
          <w:sz w:val="24"/>
          <w:szCs w:val="24"/>
        </w:rPr>
        <w:t xml:space="preserve">la </w:t>
      </w:r>
      <w:r w:rsidRPr="00695693">
        <w:rPr>
          <w:rFonts w:ascii="Times New Roman" w:hAnsi="Times New Roman" w:cs="Times New Roman"/>
          <w:sz w:val="24"/>
          <w:szCs w:val="24"/>
        </w:rPr>
        <w:lastRenderedPageBreak/>
        <w:t>CEMAC</w:t>
      </w:r>
      <w:r w:rsidRPr="00695693">
        <w:rPr>
          <w:rStyle w:val="Appelnotedebasdep"/>
          <w:rFonts w:ascii="Times New Roman" w:hAnsi="Times New Roman" w:cs="Times New Roman"/>
          <w:sz w:val="24"/>
          <w:szCs w:val="24"/>
        </w:rPr>
        <w:footnoteReference w:id="115"/>
      </w:r>
      <w:r w:rsidRPr="00695693">
        <w:rPr>
          <w:rFonts w:ascii="Times New Roman" w:hAnsi="Times New Roman" w:cs="Times New Roman"/>
          <w:sz w:val="24"/>
          <w:szCs w:val="24"/>
        </w:rPr>
        <w:t xml:space="preserve">, </w:t>
      </w:r>
      <w:r w:rsidR="009B7920" w:rsidRPr="00695693">
        <w:rPr>
          <w:rFonts w:ascii="Times New Roman" w:hAnsi="Times New Roman" w:cs="Times New Roman"/>
          <w:sz w:val="24"/>
          <w:szCs w:val="24"/>
        </w:rPr>
        <w:t>du</w:t>
      </w:r>
      <w:r w:rsidRPr="00695693">
        <w:rPr>
          <w:rFonts w:ascii="Times New Roman" w:hAnsi="Times New Roman" w:cs="Times New Roman"/>
          <w:sz w:val="24"/>
          <w:szCs w:val="24"/>
        </w:rPr>
        <w:t>COMESA</w:t>
      </w:r>
      <w:r w:rsidRPr="00695693">
        <w:rPr>
          <w:rStyle w:val="Appelnotedebasdep"/>
          <w:rFonts w:ascii="Times New Roman" w:hAnsi="Times New Roman" w:cs="Times New Roman"/>
          <w:sz w:val="24"/>
          <w:szCs w:val="24"/>
        </w:rPr>
        <w:footnoteReference w:id="116"/>
      </w:r>
      <w:r w:rsidR="00FD0900" w:rsidRPr="00695693">
        <w:rPr>
          <w:rFonts w:ascii="Times New Roman" w:hAnsi="Times New Roman" w:cs="Times New Roman"/>
          <w:sz w:val="24"/>
          <w:szCs w:val="24"/>
        </w:rPr>
        <w:t xml:space="preserve"> et de</w:t>
      </w:r>
      <w:r w:rsidRPr="00695693">
        <w:rPr>
          <w:rFonts w:ascii="Times New Roman" w:hAnsi="Times New Roman" w:cs="Times New Roman"/>
          <w:sz w:val="24"/>
          <w:szCs w:val="24"/>
        </w:rPr>
        <w:t xml:space="preserve"> l’Union européenne</w:t>
      </w:r>
      <w:r w:rsidRPr="00695693">
        <w:rPr>
          <w:rStyle w:val="Appelnotedebasdep"/>
          <w:rFonts w:ascii="Times New Roman" w:hAnsi="Times New Roman" w:cs="Times New Roman"/>
          <w:sz w:val="24"/>
          <w:szCs w:val="24"/>
        </w:rPr>
        <w:footnoteReference w:id="117"/>
      </w:r>
      <w:r w:rsidRPr="00695693">
        <w:rPr>
          <w:rFonts w:ascii="Times New Roman" w:hAnsi="Times New Roman" w:cs="Times New Roman"/>
          <w:sz w:val="24"/>
          <w:szCs w:val="24"/>
        </w:rPr>
        <w:t xml:space="preserve">, </w:t>
      </w:r>
      <w:r w:rsidR="00FD0900" w:rsidRPr="00695693">
        <w:rPr>
          <w:rFonts w:ascii="Times New Roman" w:hAnsi="Times New Roman" w:cs="Times New Roman"/>
          <w:sz w:val="24"/>
          <w:szCs w:val="24"/>
        </w:rPr>
        <w:t xml:space="preserve">dans </w:t>
      </w:r>
      <w:r w:rsidRPr="00695693">
        <w:rPr>
          <w:rFonts w:ascii="Times New Roman" w:hAnsi="Times New Roman" w:cs="Times New Roman"/>
          <w:sz w:val="24"/>
          <w:szCs w:val="24"/>
        </w:rPr>
        <w:t xml:space="preserve">le </w:t>
      </w:r>
      <w:r w:rsidR="00FD0900" w:rsidRPr="00695693">
        <w:rPr>
          <w:rFonts w:ascii="Times New Roman" w:hAnsi="Times New Roman" w:cs="Times New Roman"/>
          <w:sz w:val="24"/>
          <w:szCs w:val="24"/>
        </w:rPr>
        <w:t xml:space="preserve">système </w:t>
      </w:r>
      <w:r w:rsidRPr="00695693">
        <w:rPr>
          <w:rFonts w:ascii="Times New Roman" w:hAnsi="Times New Roman" w:cs="Times New Roman"/>
          <w:sz w:val="24"/>
          <w:szCs w:val="24"/>
        </w:rPr>
        <w:t xml:space="preserve">CEDEAO </w:t>
      </w:r>
      <w:r w:rsidR="00FD0900" w:rsidRPr="00695693">
        <w:rPr>
          <w:rFonts w:ascii="Times New Roman" w:hAnsi="Times New Roman" w:cs="Times New Roman"/>
          <w:sz w:val="24"/>
          <w:szCs w:val="24"/>
        </w:rPr>
        <w:t>le renvoi préjudiciel est toujours facultatif</w:t>
      </w:r>
      <w:r w:rsidRPr="00695693">
        <w:rPr>
          <w:rFonts w:ascii="Times New Roman" w:hAnsi="Times New Roman" w:cs="Times New Roman"/>
          <w:sz w:val="24"/>
          <w:szCs w:val="24"/>
        </w:rPr>
        <w:t xml:space="preserve">. En d’autres termes, la législation CEDEAO ne fait aucune distinction </w:t>
      </w:r>
      <w:r w:rsidR="005321B7" w:rsidRPr="00695693">
        <w:rPr>
          <w:rFonts w:ascii="Times New Roman" w:hAnsi="Times New Roman" w:cs="Times New Roman"/>
          <w:sz w:val="24"/>
          <w:szCs w:val="24"/>
        </w:rPr>
        <w:t xml:space="preserve">du renvoi </w:t>
      </w:r>
      <w:r w:rsidRPr="00695693">
        <w:rPr>
          <w:rFonts w:ascii="Times New Roman" w:hAnsi="Times New Roman" w:cs="Times New Roman"/>
          <w:sz w:val="24"/>
          <w:szCs w:val="24"/>
        </w:rPr>
        <w:t xml:space="preserve">entre </w:t>
      </w:r>
      <w:r w:rsidR="00FF7C0A">
        <w:rPr>
          <w:rFonts w:ascii="Times New Roman" w:hAnsi="Times New Roman" w:cs="Times New Roman"/>
          <w:sz w:val="24"/>
          <w:szCs w:val="24"/>
        </w:rPr>
        <w:t>les juridictions nationales infé</w:t>
      </w:r>
      <w:r w:rsidRPr="00695693">
        <w:rPr>
          <w:rFonts w:ascii="Times New Roman" w:hAnsi="Times New Roman" w:cs="Times New Roman"/>
          <w:sz w:val="24"/>
          <w:szCs w:val="24"/>
        </w:rPr>
        <w:t>rieures</w:t>
      </w:r>
      <w:r w:rsidRPr="00695693">
        <w:rPr>
          <w:rStyle w:val="Appelnotedebasdep"/>
          <w:rFonts w:ascii="Times New Roman" w:hAnsi="Times New Roman" w:cs="Times New Roman"/>
          <w:sz w:val="24"/>
          <w:szCs w:val="24"/>
        </w:rPr>
        <w:footnoteReference w:id="118"/>
      </w:r>
      <w:r w:rsidRPr="00695693">
        <w:rPr>
          <w:rFonts w:ascii="Times New Roman" w:hAnsi="Times New Roman" w:cs="Times New Roman"/>
          <w:sz w:val="24"/>
          <w:szCs w:val="24"/>
        </w:rPr>
        <w:t xml:space="preserve"> et les juridictions nationales supérieures</w:t>
      </w:r>
      <w:r w:rsidRPr="00695693">
        <w:rPr>
          <w:rStyle w:val="Appelnotedebasdep"/>
          <w:rFonts w:ascii="Times New Roman" w:hAnsi="Times New Roman" w:cs="Times New Roman"/>
          <w:sz w:val="24"/>
          <w:szCs w:val="24"/>
        </w:rPr>
        <w:footnoteReference w:id="119"/>
      </w:r>
      <w:r w:rsidRPr="00695693">
        <w:rPr>
          <w:rFonts w:ascii="Times New Roman" w:hAnsi="Times New Roman" w:cs="Times New Roman"/>
          <w:sz w:val="24"/>
          <w:szCs w:val="24"/>
        </w:rPr>
        <w:t xml:space="preserve">. </w:t>
      </w:r>
      <w:r w:rsidR="00D60128" w:rsidRPr="00695693">
        <w:rPr>
          <w:rFonts w:ascii="Times New Roman" w:hAnsi="Times New Roman" w:cs="Times New Roman"/>
          <w:sz w:val="24"/>
          <w:szCs w:val="24"/>
        </w:rPr>
        <w:t xml:space="preserve">Ceci implique que même si les parties </w:t>
      </w:r>
      <w:r w:rsidR="000756D6" w:rsidRPr="00695693">
        <w:rPr>
          <w:rFonts w:ascii="Times New Roman" w:hAnsi="Times New Roman" w:cs="Times New Roman"/>
          <w:sz w:val="24"/>
          <w:szCs w:val="24"/>
        </w:rPr>
        <w:t xml:space="preserve">en litige </w:t>
      </w:r>
      <w:r w:rsidR="00D60128" w:rsidRPr="00695693">
        <w:rPr>
          <w:rFonts w:ascii="Times New Roman" w:hAnsi="Times New Roman" w:cs="Times New Roman"/>
          <w:sz w:val="24"/>
          <w:szCs w:val="24"/>
        </w:rPr>
        <w:t xml:space="preserve">demandent à la juridiction nationale </w:t>
      </w:r>
      <w:r w:rsidR="001A6836">
        <w:rPr>
          <w:rFonts w:ascii="Times New Roman" w:hAnsi="Times New Roman" w:cs="Times New Roman"/>
          <w:sz w:val="24"/>
          <w:szCs w:val="24"/>
        </w:rPr>
        <w:t xml:space="preserve">supérieure </w:t>
      </w:r>
      <w:r w:rsidR="00D60128" w:rsidRPr="00695693">
        <w:rPr>
          <w:rFonts w:ascii="Times New Roman" w:hAnsi="Times New Roman" w:cs="Times New Roman"/>
          <w:sz w:val="24"/>
          <w:szCs w:val="24"/>
        </w:rPr>
        <w:t xml:space="preserve">d’interroger la Cour d’une question préjudicielle, cette juridiction peut toujours refuser de questionner la Cour, alors même que sa décision est insusceptible de recours juridictionnel de droit national. </w:t>
      </w:r>
      <w:r w:rsidR="00B97FF9" w:rsidRPr="00DE0E9B">
        <w:rPr>
          <w:rFonts w:ascii="Times New Roman" w:hAnsi="Times New Roman" w:cs="Times New Roman"/>
          <w:sz w:val="24"/>
          <w:szCs w:val="24"/>
        </w:rPr>
        <w:t xml:space="preserve">Cette situation est intéressante dans l’arrêt </w:t>
      </w:r>
      <w:r w:rsidR="00B97FF9" w:rsidRPr="00DE0E9B">
        <w:rPr>
          <w:rFonts w:ascii="Times New Roman" w:hAnsi="Times New Roman" w:cs="Times New Roman"/>
          <w:i/>
          <w:sz w:val="24"/>
          <w:szCs w:val="24"/>
        </w:rPr>
        <w:t>Baydar c./ Pays Bas</w:t>
      </w:r>
      <w:r w:rsidR="00B97FF9" w:rsidRPr="00DE0E9B">
        <w:rPr>
          <w:rFonts w:ascii="Times New Roman" w:hAnsi="Times New Roman" w:cs="Times New Roman"/>
          <w:sz w:val="24"/>
          <w:szCs w:val="24"/>
        </w:rPr>
        <w:t xml:space="preserve"> de 2011 où la Cour de cassation a refusé par un raisonnement sommaire de saisir la CJUE d’</w:t>
      </w:r>
      <w:r w:rsidR="00231ECA" w:rsidRPr="00DE0E9B">
        <w:rPr>
          <w:rFonts w:ascii="Times New Roman" w:hAnsi="Times New Roman" w:cs="Times New Roman"/>
          <w:sz w:val="24"/>
          <w:szCs w:val="24"/>
        </w:rPr>
        <w:t xml:space="preserve">une </w:t>
      </w:r>
      <w:r w:rsidR="00B97FF9" w:rsidRPr="00DE0E9B">
        <w:rPr>
          <w:rFonts w:ascii="Times New Roman" w:hAnsi="Times New Roman" w:cs="Times New Roman"/>
          <w:sz w:val="24"/>
          <w:szCs w:val="24"/>
        </w:rPr>
        <w:t>demande de question préjudicielle soulevée par le requérant</w:t>
      </w:r>
      <w:r w:rsidR="005628F8">
        <w:rPr>
          <w:rStyle w:val="Appelnotedebasdep"/>
          <w:rFonts w:ascii="Times New Roman" w:hAnsi="Times New Roman" w:cs="Times New Roman"/>
          <w:sz w:val="24"/>
          <w:szCs w:val="24"/>
        </w:rPr>
        <w:footnoteReference w:id="120"/>
      </w:r>
      <w:r w:rsidR="00B97FF9">
        <w:rPr>
          <w:rFonts w:ascii="Times New Roman" w:hAnsi="Times New Roman" w:cs="Times New Roman"/>
          <w:sz w:val="24"/>
          <w:szCs w:val="24"/>
        </w:rPr>
        <w:t xml:space="preserve">. </w:t>
      </w:r>
      <w:r w:rsidRPr="00695693">
        <w:rPr>
          <w:rFonts w:ascii="Times New Roman" w:hAnsi="Times New Roman" w:cs="Times New Roman"/>
          <w:sz w:val="24"/>
          <w:szCs w:val="24"/>
        </w:rPr>
        <w:t>Cet état de fait n’est pas sans conséquence, puisqu’</w:t>
      </w:r>
      <w:r w:rsidR="005321B7" w:rsidRPr="00695693">
        <w:rPr>
          <w:rFonts w:ascii="Times New Roman" w:hAnsi="Times New Roman" w:cs="Times New Roman"/>
          <w:sz w:val="24"/>
          <w:szCs w:val="24"/>
        </w:rPr>
        <w:t>il peut laisser croire que « </w:t>
      </w:r>
      <w:r w:rsidR="005321B7" w:rsidRPr="00695693">
        <w:rPr>
          <w:rFonts w:ascii="Times New Roman" w:hAnsi="Times New Roman" w:cs="Times New Roman"/>
          <w:i/>
          <w:sz w:val="24"/>
          <w:szCs w:val="24"/>
        </w:rPr>
        <w:t>la Cour n’aurait pu remplir son rôle d’uniformisation du droit communautaire</w:t>
      </w:r>
      <w:r w:rsidR="005321B7" w:rsidRPr="00695693">
        <w:rPr>
          <w:rFonts w:ascii="Times New Roman" w:hAnsi="Times New Roman" w:cs="Times New Roman"/>
          <w:sz w:val="24"/>
          <w:szCs w:val="24"/>
        </w:rPr>
        <w:t> »</w:t>
      </w:r>
      <w:r w:rsidR="005321B7" w:rsidRPr="00695693">
        <w:rPr>
          <w:rStyle w:val="Appelnotedebasdep"/>
          <w:rFonts w:ascii="Times New Roman" w:hAnsi="Times New Roman" w:cs="Times New Roman"/>
          <w:sz w:val="24"/>
          <w:szCs w:val="24"/>
        </w:rPr>
        <w:footnoteReference w:id="121"/>
      </w:r>
      <w:r w:rsidR="005321B7" w:rsidRPr="00695693">
        <w:rPr>
          <w:rFonts w:ascii="Times New Roman" w:hAnsi="Times New Roman" w:cs="Times New Roman"/>
          <w:sz w:val="24"/>
          <w:szCs w:val="24"/>
        </w:rPr>
        <w:t xml:space="preserve">, c’est pourquoi il </w:t>
      </w:r>
      <w:r w:rsidR="00E374B7" w:rsidRPr="00695693">
        <w:rPr>
          <w:rFonts w:ascii="Times New Roman" w:hAnsi="Times New Roman" w:cs="Times New Roman"/>
          <w:sz w:val="24"/>
          <w:szCs w:val="24"/>
        </w:rPr>
        <w:t>aurait été préférable pour le lé</w:t>
      </w:r>
      <w:r w:rsidR="005321B7" w:rsidRPr="00695693">
        <w:rPr>
          <w:rFonts w:ascii="Times New Roman" w:hAnsi="Times New Roman" w:cs="Times New Roman"/>
          <w:sz w:val="24"/>
          <w:szCs w:val="24"/>
        </w:rPr>
        <w:t>gislateur CEDEAO de 2005 de choisir une solution de compromis</w:t>
      </w:r>
      <w:r w:rsidR="007045A7" w:rsidRPr="00695693">
        <w:rPr>
          <w:rStyle w:val="Appelnotedebasdep"/>
          <w:rFonts w:ascii="Times New Roman" w:hAnsi="Times New Roman" w:cs="Times New Roman"/>
          <w:sz w:val="24"/>
          <w:szCs w:val="24"/>
        </w:rPr>
        <w:footnoteReference w:id="122"/>
      </w:r>
      <w:r w:rsidR="005321B7" w:rsidRPr="00695693">
        <w:rPr>
          <w:rFonts w:ascii="Times New Roman" w:hAnsi="Times New Roman" w:cs="Times New Roman"/>
          <w:sz w:val="24"/>
          <w:szCs w:val="24"/>
        </w:rPr>
        <w:t>, notamment en rendant le renvoi facultatif pour</w:t>
      </w:r>
      <w:r w:rsidR="00E374B7" w:rsidRPr="00695693">
        <w:rPr>
          <w:rFonts w:ascii="Times New Roman" w:hAnsi="Times New Roman" w:cs="Times New Roman"/>
          <w:sz w:val="24"/>
          <w:szCs w:val="24"/>
        </w:rPr>
        <w:t xml:space="preserve"> les juridictions nationales </w:t>
      </w:r>
      <w:r w:rsidR="00E374B7" w:rsidRPr="00695693">
        <w:rPr>
          <w:rFonts w:ascii="Times New Roman" w:hAnsi="Times New Roman" w:cs="Times New Roman"/>
          <w:sz w:val="24"/>
          <w:szCs w:val="24"/>
        </w:rPr>
        <w:lastRenderedPageBreak/>
        <w:t>inférieures et obligatoire pour celles statuant en dernier ressort.</w:t>
      </w:r>
      <w:r w:rsidR="00354248" w:rsidRPr="00695693">
        <w:rPr>
          <w:rFonts w:ascii="Times New Roman" w:hAnsi="Times New Roman" w:cs="Times New Roman"/>
          <w:sz w:val="24"/>
          <w:szCs w:val="24"/>
        </w:rPr>
        <w:t xml:space="preserve">Cependant, il y a lieu de retenir que la juridiction nationale n’est pas la seule actrice de la mise en œuvre du renvoi préjudiciel. Elle est </w:t>
      </w:r>
      <w:r w:rsidR="002D3B86" w:rsidRPr="00695693">
        <w:rPr>
          <w:rFonts w:ascii="Times New Roman" w:hAnsi="Times New Roman" w:cs="Times New Roman"/>
          <w:sz w:val="24"/>
          <w:szCs w:val="24"/>
        </w:rPr>
        <w:t xml:space="preserve">obligatoirement </w:t>
      </w:r>
      <w:r w:rsidR="00354248" w:rsidRPr="00695693">
        <w:rPr>
          <w:rFonts w:ascii="Times New Roman" w:hAnsi="Times New Roman" w:cs="Times New Roman"/>
          <w:sz w:val="24"/>
          <w:szCs w:val="24"/>
        </w:rPr>
        <w:t>tenue de collaborer avec</w:t>
      </w:r>
      <w:r w:rsidR="00590789" w:rsidRPr="00695693">
        <w:rPr>
          <w:rFonts w:ascii="Times New Roman" w:hAnsi="Times New Roman" w:cs="Times New Roman"/>
          <w:sz w:val="24"/>
          <w:szCs w:val="24"/>
        </w:rPr>
        <w:t xml:space="preserve"> la juridiction communautaire.</w:t>
      </w:r>
    </w:p>
    <w:p w:rsidR="00694424" w:rsidRPr="00802E04" w:rsidRDefault="0041608B" w:rsidP="002F7CA3">
      <w:pPr>
        <w:pStyle w:val="Titre4"/>
      </w:pPr>
      <w:bookmarkStart w:id="35" w:name="_Toc518672790"/>
      <w:r w:rsidRPr="00802E04">
        <w:t>§ 2</w:t>
      </w:r>
      <w:r w:rsidR="00694424" w:rsidRPr="00802E04">
        <w:t>: La juridiction communautaire</w:t>
      </w:r>
      <w:bookmarkEnd w:id="35"/>
    </w:p>
    <w:p w:rsidR="00F51501" w:rsidRPr="00695693" w:rsidRDefault="000D5FE7"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L’expression vise ici la Cour de justice de la communauté CEDEAO. Ainsi, p</w:t>
      </w:r>
      <w:r w:rsidR="006354FC" w:rsidRPr="00695693">
        <w:rPr>
          <w:rFonts w:ascii="Times New Roman" w:hAnsi="Times New Roman" w:cs="Times New Roman"/>
          <w:sz w:val="24"/>
          <w:szCs w:val="24"/>
        </w:rPr>
        <w:t xml:space="preserve">our mieux assurer la mise en œuvre du recours préjudiciel, le législateur CEDEAO a conféré à la Cour de justice de la communauté  un certain nombre d’attributions importantes. </w:t>
      </w:r>
      <w:r w:rsidR="00966301" w:rsidRPr="00695693">
        <w:rPr>
          <w:rFonts w:ascii="Times New Roman" w:hAnsi="Times New Roman" w:cs="Times New Roman"/>
          <w:sz w:val="24"/>
          <w:szCs w:val="24"/>
        </w:rPr>
        <w:t xml:space="preserve">C’est ainsi qu’il lui </w:t>
      </w:r>
      <w:r w:rsidR="006354FC" w:rsidRPr="00695693">
        <w:rPr>
          <w:rFonts w:ascii="Times New Roman" w:hAnsi="Times New Roman" w:cs="Times New Roman"/>
          <w:sz w:val="24"/>
          <w:szCs w:val="24"/>
        </w:rPr>
        <w:t xml:space="preserve">appartient le pouvoir d’interpréter un Traité ou un acte assimilé. C’est également à elle que  revient le </w:t>
      </w:r>
      <w:r w:rsidR="003623C5">
        <w:rPr>
          <w:rFonts w:ascii="Times New Roman" w:hAnsi="Times New Roman" w:cs="Times New Roman"/>
          <w:sz w:val="24"/>
          <w:szCs w:val="24"/>
        </w:rPr>
        <w:t xml:space="preserve">monopole de la fonction </w:t>
      </w:r>
      <w:r w:rsidR="006354FC" w:rsidRPr="00695693">
        <w:rPr>
          <w:rFonts w:ascii="Times New Roman" w:hAnsi="Times New Roman" w:cs="Times New Roman"/>
          <w:sz w:val="24"/>
          <w:szCs w:val="24"/>
        </w:rPr>
        <w:t>d’interpréter ou d’apprécier les normes du droit communautaire dérivé</w:t>
      </w:r>
      <w:r w:rsidR="003623C5">
        <w:rPr>
          <w:rStyle w:val="Appelnotedebasdep"/>
          <w:rFonts w:ascii="Times New Roman" w:hAnsi="Times New Roman" w:cs="Times New Roman"/>
          <w:sz w:val="24"/>
          <w:szCs w:val="24"/>
        </w:rPr>
        <w:footnoteReference w:id="123"/>
      </w:r>
      <w:r w:rsidR="006354FC" w:rsidRPr="00695693">
        <w:rPr>
          <w:rFonts w:ascii="Times New Roman" w:hAnsi="Times New Roman" w:cs="Times New Roman"/>
          <w:sz w:val="24"/>
          <w:szCs w:val="24"/>
        </w:rPr>
        <w:t>.Le fondement d’une telle compétence est à rechercher à la fois dans le protocole d’Accra du 19 janvier 2005</w:t>
      </w:r>
      <w:r w:rsidR="00C94785" w:rsidRPr="00695693">
        <w:rPr>
          <w:rStyle w:val="Appelnotedebasdep"/>
          <w:rFonts w:ascii="Times New Roman" w:hAnsi="Times New Roman" w:cs="Times New Roman"/>
          <w:sz w:val="24"/>
          <w:szCs w:val="24"/>
        </w:rPr>
        <w:footnoteReference w:id="124"/>
      </w:r>
      <w:r w:rsidR="006354FC" w:rsidRPr="00695693">
        <w:rPr>
          <w:rFonts w:ascii="Times New Roman" w:hAnsi="Times New Roman" w:cs="Times New Roman"/>
          <w:sz w:val="24"/>
          <w:szCs w:val="24"/>
        </w:rPr>
        <w:t xml:space="preserve">  et dans le protocole d’Abuja du 6 juillet 1991</w:t>
      </w:r>
      <w:r w:rsidR="00C94785" w:rsidRPr="00695693">
        <w:rPr>
          <w:rStyle w:val="Appelnotedebasdep"/>
          <w:rFonts w:ascii="Times New Roman" w:hAnsi="Times New Roman" w:cs="Times New Roman"/>
          <w:sz w:val="24"/>
          <w:szCs w:val="24"/>
        </w:rPr>
        <w:footnoteReference w:id="125"/>
      </w:r>
      <w:r w:rsidR="006354FC" w:rsidRPr="00695693">
        <w:rPr>
          <w:rFonts w:ascii="Times New Roman" w:hAnsi="Times New Roman" w:cs="Times New Roman"/>
          <w:sz w:val="24"/>
          <w:szCs w:val="24"/>
        </w:rPr>
        <w:t xml:space="preserve">. </w:t>
      </w:r>
      <w:r w:rsidR="00694424" w:rsidRPr="00695693">
        <w:rPr>
          <w:rFonts w:ascii="Times New Roman" w:hAnsi="Times New Roman" w:cs="Times New Roman"/>
          <w:sz w:val="24"/>
          <w:szCs w:val="24"/>
        </w:rPr>
        <w:t xml:space="preserve">C’est donc à ce titre qu’elle est censée </w:t>
      </w:r>
      <w:r w:rsidR="008D3763" w:rsidRPr="00695693">
        <w:rPr>
          <w:rFonts w:ascii="Times New Roman" w:hAnsi="Times New Roman" w:cs="Times New Roman"/>
          <w:sz w:val="24"/>
          <w:szCs w:val="24"/>
        </w:rPr>
        <w:t xml:space="preserve">à </w:t>
      </w:r>
      <w:r w:rsidR="00C9024F" w:rsidRPr="00695693">
        <w:rPr>
          <w:rFonts w:ascii="Times New Roman" w:hAnsi="Times New Roman" w:cs="Times New Roman"/>
          <w:sz w:val="24"/>
          <w:szCs w:val="24"/>
        </w:rPr>
        <w:t xml:space="preserve">assurer </w:t>
      </w:r>
      <w:r w:rsidR="00694424" w:rsidRPr="00695693">
        <w:rPr>
          <w:rFonts w:ascii="Times New Roman" w:hAnsi="Times New Roman" w:cs="Times New Roman"/>
          <w:sz w:val="24"/>
          <w:szCs w:val="24"/>
        </w:rPr>
        <w:t>l’uniformité du droit de la Communauté dans son application par les juges nationaux, en veillant à ce que ce droit soit appliqué de manière à assurer la mise en place d’une jurisprudence harmonisée. C’est ce qu’exprime Roger Lecourt dans cette formule : « </w:t>
      </w:r>
      <w:r w:rsidR="00694424" w:rsidRPr="00695693">
        <w:rPr>
          <w:rFonts w:ascii="Times New Roman" w:hAnsi="Times New Roman" w:cs="Times New Roman"/>
          <w:i/>
          <w:sz w:val="24"/>
          <w:szCs w:val="24"/>
        </w:rPr>
        <w:t>Il n’est pas de droit communautaire sans une unité de jurisprudence</w:t>
      </w:r>
      <w:r w:rsidR="00694424" w:rsidRPr="00695693">
        <w:rPr>
          <w:rFonts w:ascii="Times New Roman" w:hAnsi="Times New Roman" w:cs="Times New Roman"/>
          <w:sz w:val="24"/>
          <w:szCs w:val="24"/>
        </w:rPr>
        <w:t> »</w:t>
      </w:r>
      <w:r w:rsidR="00694424" w:rsidRPr="00695693">
        <w:rPr>
          <w:rStyle w:val="Appelnotedebasdep"/>
          <w:rFonts w:ascii="Times New Roman" w:hAnsi="Times New Roman" w:cs="Times New Roman"/>
          <w:sz w:val="24"/>
          <w:szCs w:val="24"/>
        </w:rPr>
        <w:footnoteReference w:id="126"/>
      </w:r>
      <w:r w:rsidR="00694424" w:rsidRPr="00695693">
        <w:rPr>
          <w:rFonts w:ascii="Times New Roman" w:hAnsi="Times New Roman" w:cs="Times New Roman"/>
          <w:sz w:val="24"/>
          <w:szCs w:val="24"/>
        </w:rPr>
        <w:t>.</w:t>
      </w:r>
      <w:r w:rsidR="00D2726A" w:rsidRPr="00695693">
        <w:rPr>
          <w:rFonts w:ascii="Times New Roman" w:hAnsi="Times New Roman" w:cs="Times New Roman"/>
          <w:sz w:val="24"/>
          <w:szCs w:val="24"/>
        </w:rPr>
        <w:t xml:space="preserve"> Son </w:t>
      </w:r>
      <w:r w:rsidR="006228EA" w:rsidRPr="00695693">
        <w:rPr>
          <w:rFonts w:ascii="Times New Roman" w:hAnsi="Times New Roman" w:cs="Times New Roman"/>
          <w:sz w:val="24"/>
          <w:szCs w:val="24"/>
        </w:rPr>
        <w:t xml:space="preserve">rôle </w:t>
      </w:r>
      <w:r w:rsidR="00D2726A" w:rsidRPr="00695693">
        <w:rPr>
          <w:rFonts w:ascii="Times New Roman" w:hAnsi="Times New Roman" w:cs="Times New Roman"/>
          <w:sz w:val="24"/>
          <w:szCs w:val="24"/>
        </w:rPr>
        <w:t xml:space="preserve">est différent selon qu’elle </w:t>
      </w:r>
      <w:r w:rsidR="007E70CE">
        <w:rPr>
          <w:rFonts w:ascii="Times New Roman" w:hAnsi="Times New Roman" w:cs="Times New Roman"/>
          <w:sz w:val="24"/>
          <w:szCs w:val="24"/>
        </w:rPr>
        <w:t xml:space="preserve">statue </w:t>
      </w:r>
      <w:r w:rsidR="00D2726A" w:rsidRPr="00695693">
        <w:rPr>
          <w:rFonts w:ascii="Times New Roman" w:hAnsi="Times New Roman" w:cs="Times New Roman"/>
          <w:sz w:val="24"/>
          <w:szCs w:val="24"/>
        </w:rPr>
        <w:t xml:space="preserve">soit </w:t>
      </w:r>
      <w:r w:rsidR="006228EA" w:rsidRPr="00695693">
        <w:rPr>
          <w:rFonts w:ascii="Times New Roman" w:hAnsi="Times New Roman" w:cs="Times New Roman"/>
          <w:sz w:val="24"/>
          <w:szCs w:val="24"/>
        </w:rPr>
        <w:t xml:space="preserve">en matière d’interprétation </w:t>
      </w:r>
      <w:r w:rsidR="006228EA" w:rsidRPr="008A03CE">
        <w:rPr>
          <w:rFonts w:ascii="Times New Roman" w:hAnsi="Times New Roman" w:cs="Times New Roman"/>
          <w:b/>
          <w:sz w:val="24"/>
          <w:szCs w:val="24"/>
        </w:rPr>
        <w:t>(A)</w:t>
      </w:r>
      <w:r w:rsidR="00D2726A" w:rsidRPr="00695693">
        <w:rPr>
          <w:rFonts w:ascii="Times New Roman" w:hAnsi="Times New Roman" w:cs="Times New Roman"/>
          <w:sz w:val="24"/>
          <w:szCs w:val="24"/>
        </w:rPr>
        <w:t>, soit</w:t>
      </w:r>
      <w:r w:rsidR="006228EA" w:rsidRPr="00695693">
        <w:rPr>
          <w:rFonts w:ascii="Times New Roman" w:hAnsi="Times New Roman" w:cs="Times New Roman"/>
          <w:sz w:val="24"/>
          <w:szCs w:val="24"/>
        </w:rPr>
        <w:t xml:space="preserve"> en matière d’appréciation de validité </w:t>
      </w:r>
      <w:r w:rsidR="006228EA" w:rsidRPr="008A03CE">
        <w:rPr>
          <w:rFonts w:ascii="Times New Roman" w:hAnsi="Times New Roman" w:cs="Times New Roman"/>
          <w:b/>
          <w:sz w:val="24"/>
          <w:szCs w:val="24"/>
        </w:rPr>
        <w:t>(B)</w:t>
      </w:r>
      <w:r w:rsidR="006228EA" w:rsidRPr="00695693">
        <w:rPr>
          <w:rFonts w:ascii="Times New Roman" w:hAnsi="Times New Roman" w:cs="Times New Roman"/>
          <w:sz w:val="24"/>
          <w:szCs w:val="24"/>
        </w:rPr>
        <w:t>.</w:t>
      </w:r>
    </w:p>
    <w:p w:rsidR="00694424" w:rsidRPr="00802E04" w:rsidRDefault="00694424" w:rsidP="0037430F">
      <w:pPr>
        <w:pStyle w:val="Titre5"/>
      </w:pPr>
      <w:bookmarkStart w:id="36" w:name="_Toc518672791"/>
      <w:r w:rsidRPr="00802E04">
        <w:lastRenderedPageBreak/>
        <w:t>A.  L</w:t>
      </w:r>
      <w:r w:rsidR="00374C4A" w:rsidRPr="00802E04">
        <w:t>e rôle de la Cour de justice en matière d’interprétation</w:t>
      </w:r>
      <w:bookmarkEnd w:id="36"/>
    </w:p>
    <w:p w:rsidR="00672DD2" w:rsidRPr="00695693" w:rsidRDefault="00E86CBE"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De prime à bord, il y a lieu de noter que si le renvoi porte sur l’interprétation, la Cour de justice ne fait qu’interpréter la disposition en cause. Celle-ci peut </w:t>
      </w:r>
      <w:r w:rsidR="00CC1E78" w:rsidRPr="00695693">
        <w:rPr>
          <w:rFonts w:ascii="Times New Roman" w:hAnsi="Times New Roman" w:cs="Times New Roman"/>
          <w:sz w:val="24"/>
          <w:szCs w:val="24"/>
        </w:rPr>
        <w:t xml:space="preserve">relever </w:t>
      </w:r>
      <w:r w:rsidR="00966301" w:rsidRPr="00695693">
        <w:rPr>
          <w:rFonts w:ascii="Times New Roman" w:hAnsi="Times New Roman" w:cs="Times New Roman"/>
          <w:sz w:val="24"/>
          <w:szCs w:val="24"/>
        </w:rPr>
        <w:t>soi</w:t>
      </w:r>
      <w:r w:rsidRPr="00695693">
        <w:rPr>
          <w:rFonts w:ascii="Times New Roman" w:hAnsi="Times New Roman" w:cs="Times New Roman"/>
          <w:sz w:val="24"/>
          <w:szCs w:val="24"/>
        </w:rPr>
        <w:t>tdes actes du droit communautaire originaire</w:t>
      </w:r>
      <w:r w:rsidRPr="00695693">
        <w:rPr>
          <w:rStyle w:val="Appelnotedebasdep"/>
          <w:rFonts w:ascii="Times New Roman" w:hAnsi="Times New Roman" w:cs="Times New Roman"/>
          <w:sz w:val="24"/>
          <w:szCs w:val="24"/>
        </w:rPr>
        <w:footnoteReference w:id="127"/>
      </w:r>
      <w:r w:rsidR="00FC17FE" w:rsidRPr="00695693">
        <w:rPr>
          <w:rFonts w:ascii="Times New Roman" w:hAnsi="Times New Roman" w:cs="Times New Roman"/>
          <w:sz w:val="24"/>
          <w:szCs w:val="24"/>
        </w:rPr>
        <w:t>,</w:t>
      </w:r>
      <w:r w:rsidR="00966301" w:rsidRPr="00695693">
        <w:rPr>
          <w:rFonts w:ascii="Times New Roman" w:hAnsi="Times New Roman" w:cs="Times New Roman"/>
          <w:sz w:val="24"/>
          <w:szCs w:val="24"/>
        </w:rPr>
        <w:t>soit</w:t>
      </w:r>
      <w:r w:rsidR="00855728" w:rsidRPr="00695693">
        <w:rPr>
          <w:rFonts w:ascii="Times New Roman" w:hAnsi="Times New Roman" w:cs="Times New Roman"/>
          <w:sz w:val="24"/>
          <w:szCs w:val="24"/>
        </w:rPr>
        <w:t xml:space="preserve"> des ceux composant le droit communautaire dérivé, indépendamment de leur nature, qu’ils soient ou non d’applicabilité directe</w:t>
      </w:r>
      <w:r w:rsidR="00855728" w:rsidRPr="00695693">
        <w:rPr>
          <w:rStyle w:val="Appelnotedebasdep"/>
          <w:rFonts w:ascii="Times New Roman" w:hAnsi="Times New Roman" w:cs="Times New Roman"/>
          <w:sz w:val="24"/>
          <w:szCs w:val="24"/>
        </w:rPr>
        <w:footnoteReference w:id="128"/>
      </w:r>
      <w:r w:rsidR="0070350F" w:rsidRPr="00695693">
        <w:rPr>
          <w:rFonts w:ascii="Times New Roman" w:hAnsi="Times New Roman" w:cs="Times New Roman"/>
          <w:sz w:val="24"/>
          <w:szCs w:val="24"/>
        </w:rPr>
        <w:t xml:space="preserve">. </w:t>
      </w:r>
      <w:r w:rsidR="00A963E4">
        <w:rPr>
          <w:rFonts w:ascii="Times New Roman" w:hAnsi="Times New Roman" w:cs="Times New Roman"/>
          <w:sz w:val="24"/>
          <w:szCs w:val="24"/>
        </w:rPr>
        <w:t>Certes, les juridictions nationales jouent un rôle primordial e</w:t>
      </w:r>
      <w:r w:rsidR="001401D4">
        <w:rPr>
          <w:rFonts w:ascii="Times New Roman" w:hAnsi="Times New Roman" w:cs="Times New Roman"/>
          <w:sz w:val="24"/>
          <w:szCs w:val="24"/>
        </w:rPr>
        <w:t>n matière du renvoi préjudiciel, m</w:t>
      </w:r>
      <w:r w:rsidR="00A963E4">
        <w:rPr>
          <w:rFonts w:ascii="Times New Roman" w:hAnsi="Times New Roman" w:cs="Times New Roman"/>
          <w:sz w:val="24"/>
          <w:szCs w:val="24"/>
        </w:rPr>
        <w:t>ais cette mission ne doit pas faire perdre de vue l’</w:t>
      </w:r>
      <w:r w:rsidR="00561E5D">
        <w:rPr>
          <w:rFonts w:ascii="Times New Roman" w:hAnsi="Times New Roman" w:cs="Times New Roman"/>
          <w:sz w:val="24"/>
          <w:szCs w:val="24"/>
        </w:rPr>
        <w:t>activité dela Cour</w:t>
      </w:r>
      <w:r w:rsidR="00A963E4">
        <w:rPr>
          <w:rFonts w:ascii="Times New Roman" w:hAnsi="Times New Roman" w:cs="Times New Roman"/>
          <w:sz w:val="24"/>
          <w:szCs w:val="24"/>
        </w:rPr>
        <w:t xml:space="preserve"> de justice communautaire dans l’interprétation des actes communautaires litigieux</w:t>
      </w:r>
      <w:r w:rsidR="00561E5D">
        <w:rPr>
          <w:rFonts w:ascii="Times New Roman" w:hAnsi="Times New Roman" w:cs="Times New Roman"/>
          <w:sz w:val="24"/>
          <w:szCs w:val="24"/>
        </w:rPr>
        <w:t>. En effet, elle doit non seulement procéder à l’interprétation de l’acte en cause, mais aussi et surtout faire preuve d’une neutralité</w:t>
      </w:r>
      <w:r w:rsidR="00A963E4">
        <w:rPr>
          <w:rStyle w:val="Appelnotedebasdep"/>
          <w:rFonts w:ascii="Times New Roman" w:hAnsi="Times New Roman" w:cs="Times New Roman"/>
          <w:sz w:val="24"/>
          <w:szCs w:val="24"/>
        </w:rPr>
        <w:footnoteReference w:id="129"/>
      </w:r>
      <w:r w:rsidR="00561E5D">
        <w:rPr>
          <w:rFonts w:ascii="Times New Roman" w:hAnsi="Times New Roman" w:cs="Times New Roman"/>
          <w:sz w:val="24"/>
          <w:szCs w:val="24"/>
        </w:rPr>
        <w:t>. Le rôle d’interprète à elle dévolu l’oblige à préciser le sens et la portée des dispositions du droit communautaire mais encore des notions que ces dispositions visent implicitement ou expressément</w:t>
      </w:r>
      <w:r w:rsidR="00561E5D">
        <w:rPr>
          <w:rStyle w:val="Appelnotedebasdep"/>
          <w:rFonts w:ascii="Times New Roman" w:hAnsi="Times New Roman" w:cs="Times New Roman"/>
          <w:sz w:val="24"/>
          <w:szCs w:val="24"/>
        </w:rPr>
        <w:footnoteReference w:id="130"/>
      </w:r>
      <w:r w:rsidR="00561E5D">
        <w:rPr>
          <w:rFonts w:ascii="Times New Roman" w:hAnsi="Times New Roman" w:cs="Times New Roman"/>
          <w:sz w:val="24"/>
          <w:szCs w:val="24"/>
        </w:rPr>
        <w:t xml:space="preserve">. </w:t>
      </w:r>
      <w:r w:rsidR="00787771">
        <w:rPr>
          <w:rFonts w:ascii="Times New Roman" w:hAnsi="Times New Roman" w:cs="Times New Roman"/>
          <w:sz w:val="24"/>
          <w:szCs w:val="24"/>
        </w:rPr>
        <w:t xml:space="preserve">En d’autres termes, </w:t>
      </w:r>
      <w:r w:rsidR="00787771" w:rsidRPr="00787771">
        <w:rPr>
          <w:rFonts w:ascii="Times New Roman" w:hAnsi="Times New Roman" w:cs="Times New Roman"/>
          <w:sz w:val="24"/>
          <w:szCs w:val="24"/>
        </w:rPr>
        <w:t>l</w:t>
      </w:r>
      <w:r w:rsidR="0070350F" w:rsidRPr="00787771">
        <w:rPr>
          <w:rFonts w:ascii="Times New Roman" w:hAnsi="Times New Roman" w:cs="Times New Roman"/>
          <w:sz w:val="24"/>
          <w:szCs w:val="24"/>
        </w:rPr>
        <w:t>a Cour</w:t>
      </w:r>
      <w:r w:rsidR="00855728" w:rsidRPr="00695693">
        <w:rPr>
          <w:rFonts w:ascii="Times New Roman" w:hAnsi="Times New Roman" w:cs="Times New Roman"/>
          <w:sz w:val="24"/>
          <w:szCs w:val="24"/>
        </w:rPr>
        <w:t xml:space="preserve">ne peut </w:t>
      </w:r>
      <w:r w:rsidR="0070350F" w:rsidRPr="00695693">
        <w:rPr>
          <w:rFonts w:ascii="Times New Roman" w:hAnsi="Times New Roman" w:cs="Times New Roman"/>
          <w:sz w:val="24"/>
          <w:szCs w:val="24"/>
        </w:rPr>
        <w:t xml:space="preserve">donc </w:t>
      </w:r>
      <w:r w:rsidR="00855728" w:rsidRPr="00695693">
        <w:rPr>
          <w:rFonts w:ascii="Times New Roman" w:hAnsi="Times New Roman" w:cs="Times New Roman"/>
          <w:sz w:val="24"/>
          <w:szCs w:val="24"/>
        </w:rPr>
        <w:t xml:space="preserve">ni </w:t>
      </w:r>
      <w:r w:rsidRPr="00695693">
        <w:rPr>
          <w:rFonts w:ascii="Times New Roman" w:hAnsi="Times New Roman" w:cs="Times New Roman"/>
          <w:sz w:val="24"/>
          <w:szCs w:val="24"/>
        </w:rPr>
        <w:t>apprécier</w:t>
      </w:r>
      <w:r w:rsidR="00CC1E78" w:rsidRPr="00695693">
        <w:rPr>
          <w:rFonts w:ascii="Times New Roman" w:hAnsi="Times New Roman" w:cs="Times New Roman"/>
          <w:sz w:val="24"/>
          <w:szCs w:val="24"/>
        </w:rPr>
        <w:t xml:space="preserve">la </w:t>
      </w:r>
      <w:r w:rsidR="00855728" w:rsidRPr="00695693">
        <w:rPr>
          <w:rFonts w:ascii="Times New Roman" w:hAnsi="Times New Roman" w:cs="Times New Roman"/>
          <w:sz w:val="24"/>
          <w:szCs w:val="24"/>
        </w:rPr>
        <w:t>disposition en cause</w:t>
      </w:r>
      <w:r w:rsidRPr="00695693">
        <w:rPr>
          <w:rFonts w:ascii="Times New Roman" w:hAnsi="Times New Roman" w:cs="Times New Roman"/>
          <w:sz w:val="24"/>
          <w:szCs w:val="24"/>
        </w:rPr>
        <w:t xml:space="preserve">, ni </w:t>
      </w:r>
      <w:r w:rsidR="00855728" w:rsidRPr="00695693">
        <w:rPr>
          <w:rFonts w:ascii="Times New Roman" w:hAnsi="Times New Roman" w:cs="Times New Roman"/>
          <w:sz w:val="24"/>
          <w:szCs w:val="24"/>
        </w:rPr>
        <w:t xml:space="preserve">même </w:t>
      </w:r>
      <w:r w:rsidRPr="00695693">
        <w:rPr>
          <w:rFonts w:ascii="Times New Roman" w:hAnsi="Times New Roman" w:cs="Times New Roman"/>
          <w:sz w:val="24"/>
          <w:szCs w:val="24"/>
        </w:rPr>
        <w:t xml:space="preserve">l’appliquer au cas d’espèce. </w:t>
      </w:r>
      <w:r w:rsidR="00A55B82" w:rsidRPr="00787771">
        <w:rPr>
          <w:rFonts w:ascii="Times New Roman" w:hAnsi="Times New Roman" w:cs="Times New Roman"/>
          <w:sz w:val="24"/>
          <w:szCs w:val="24"/>
        </w:rPr>
        <w:t>Elle ne peut pas non plus se prononcer sur l’interprétation d’un acte national</w:t>
      </w:r>
      <w:r w:rsidR="00A55B82" w:rsidRPr="00787771">
        <w:rPr>
          <w:rStyle w:val="Appelnotedebasdep"/>
          <w:rFonts w:ascii="Times New Roman" w:hAnsi="Times New Roman" w:cs="Times New Roman"/>
          <w:sz w:val="24"/>
          <w:szCs w:val="24"/>
        </w:rPr>
        <w:footnoteReference w:id="131"/>
      </w:r>
      <w:r w:rsidR="00A55B82" w:rsidRPr="00787771">
        <w:rPr>
          <w:rFonts w:ascii="Times New Roman" w:hAnsi="Times New Roman" w:cs="Times New Roman"/>
          <w:sz w:val="24"/>
          <w:szCs w:val="24"/>
        </w:rPr>
        <w:t xml:space="preserve">. </w:t>
      </w:r>
      <w:r w:rsidRPr="00787771">
        <w:rPr>
          <w:rFonts w:ascii="Times New Roman" w:hAnsi="Times New Roman" w:cs="Times New Roman"/>
          <w:sz w:val="24"/>
          <w:szCs w:val="24"/>
        </w:rPr>
        <w:t>Elle ne peut se contenter que de donner le sens exact</w:t>
      </w:r>
      <w:r w:rsidRPr="00695693">
        <w:rPr>
          <w:rFonts w:ascii="Times New Roman" w:hAnsi="Times New Roman" w:cs="Times New Roman"/>
          <w:sz w:val="24"/>
          <w:szCs w:val="24"/>
        </w:rPr>
        <w:t>, de clarifier, d’éclaircir le sens et la portée juridique de la disposition en cause.</w:t>
      </w:r>
      <w:r w:rsidR="0070350F" w:rsidRPr="00695693">
        <w:rPr>
          <w:rFonts w:ascii="Times New Roman" w:hAnsi="Times New Roman" w:cs="Times New Roman"/>
          <w:sz w:val="24"/>
          <w:szCs w:val="24"/>
        </w:rPr>
        <w:t xml:space="preserve">Son </w:t>
      </w:r>
      <w:r w:rsidR="009A5162" w:rsidRPr="00695693">
        <w:rPr>
          <w:rFonts w:ascii="Times New Roman" w:hAnsi="Times New Roman" w:cs="Times New Roman"/>
          <w:sz w:val="24"/>
          <w:szCs w:val="24"/>
        </w:rPr>
        <w:t xml:space="preserve">rôle se borne seulement et simplement à l’interprétation. Celle-ci est définie comme : « </w:t>
      </w:r>
      <w:r w:rsidR="009A5162" w:rsidRPr="00695693">
        <w:rPr>
          <w:rFonts w:ascii="Times New Roman" w:hAnsi="Times New Roman" w:cs="Times New Roman"/>
          <w:i/>
          <w:sz w:val="24"/>
          <w:szCs w:val="24"/>
        </w:rPr>
        <w:t>un raisonnement critique qui consiste à déterminer la signification d’un énoncé, lorsque celle-ci est douteuse</w:t>
      </w:r>
      <w:r w:rsidR="009A5162" w:rsidRPr="00695693">
        <w:rPr>
          <w:rFonts w:ascii="Times New Roman" w:hAnsi="Times New Roman" w:cs="Times New Roman"/>
          <w:sz w:val="24"/>
          <w:szCs w:val="24"/>
        </w:rPr>
        <w:t xml:space="preserve"> »</w:t>
      </w:r>
      <w:r w:rsidR="005F265D" w:rsidRPr="00695693">
        <w:rPr>
          <w:rStyle w:val="Appelnotedebasdep"/>
          <w:rFonts w:ascii="Times New Roman" w:hAnsi="Times New Roman" w:cs="Times New Roman"/>
          <w:sz w:val="24"/>
          <w:szCs w:val="24"/>
        </w:rPr>
        <w:footnoteReference w:id="132"/>
      </w:r>
      <w:r w:rsidR="009A5162" w:rsidRPr="00695693">
        <w:rPr>
          <w:rFonts w:ascii="Times New Roman" w:hAnsi="Times New Roman" w:cs="Times New Roman"/>
          <w:sz w:val="24"/>
          <w:szCs w:val="24"/>
        </w:rPr>
        <w:t xml:space="preserve"> . Le doute quant à la signification d’un texte peut se rattacher à trois éléments. Il s’agit de « </w:t>
      </w:r>
      <w:r w:rsidR="009A5162" w:rsidRPr="00695693">
        <w:rPr>
          <w:rFonts w:ascii="Times New Roman" w:hAnsi="Times New Roman" w:cs="Times New Roman"/>
          <w:i/>
          <w:sz w:val="24"/>
          <w:szCs w:val="24"/>
        </w:rPr>
        <w:t xml:space="preserve">l’élément linguistique (les termes mêmes du texte sont équivoques), l’élément contextuel (la signification du texte entre en conflit avec la signification d’un autre texte), l’élément fonctionnel (la signification du texte s’oppose à un ensemble de valeurs considérées comme </w:t>
      </w:r>
      <w:r w:rsidR="009A5162" w:rsidRPr="00695693">
        <w:rPr>
          <w:rFonts w:ascii="Times New Roman" w:hAnsi="Times New Roman" w:cs="Times New Roman"/>
          <w:i/>
          <w:sz w:val="24"/>
          <w:szCs w:val="24"/>
        </w:rPr>
        <w:lastRenderedPageBreak/>
        <w:t>fondamentales)</w:t>
      </w:r>
      <w:r w:rsidR="005F265D" w:rsidRPr="00695693">
        <w:rPr>
          <w:rFonts w:ascii="Times New Roman" w:hAnsi="Times New Roman" w:cs="Times New Roman"/>
          <w:sz w:val="24"/>
          <w:szCs w:val="24"/>
        </w:rPr>
        <w:t xml:space="preserve"> »</w:t>
      </w:r>
      <w:r w:rsidR="005F265D" w:rsidRPr="00695693">
        <w:rPr>
          <w:rStyle w:val="Appelnotedebasdep"/>
          <w:rFonts w:ascii="Times New Roman" w:hAnsi="Times New Roman" w:cs="Times New Roman"/>
          <w:sz w:val="24"/>
          <w:szCs w:val="24"/>
        </w:rPr>
        <w:footnoteReference w:id="133"/>
      </w:r>
      <w:r w:rsidR="009A5162" w:rsidRPr="00695693">
        <w:rPr>
          <w:rFonts w:ascii="Times New Roman" w:hAnsi="Times New Roman" w:cs="Times New Roman"/>
          <w:sz w:val="24"/>
          <w:szCs w:val="24"/>
        </w:rPr>
        <w:t>.</w:t>
      </w:r>
      <w:r w:rsidR="00672DD2" w:rsidRPr="00695693">
        <w:rPr>
          <w:rFonts w:ascii="Times New Roman" w:hAnsi="Times New Roman" w:cs="Times New Roman"/>
          <w:sz w:val="24"/>
          <w:szCs w:val="24"/>
        </w:rPr>
        <w:t xml:space="preserve">  Pour interpréter, la Cour doit se référer à un certain nombre des règles, appelées les règles d’interprétation. </w:t>
      </w:r>
    </w:p>
    <w:p w:rsidR="009F5CF8" w:rsidRPr="00B83B60" w:rsidRDefault="00672DD2" w:rsidP="00695693">
      <w:pPr>
        <w:spacing w:line="360" w:lineRule="auto"/>
        <w:jc w:val="both"/>
        <w:rPr>
          <w:rFonts w:ascii="Times New Roman" w:hAnsi="Times New Roman" w:cs="Times New Roman"/>
          <w:i/>
          <w:sz w:val="24"/>
          <w:szCs w:val="24"/>
        </w:rPr>
      </w:pPr>
      <w:r w:rsidRPr="00695693">
        <w:rPr>
          <w:rFonts w:ascii="Times New Roman" w:hAnsi="Times New Roman" w:cs="Times New Roman"/>
          <w:sz w:val="24"/>
          <w:szCs w:val="24"/>
        </w:rPr>
        <w:t xml:space="preserve"> En droit européen, les règles qui président à l’interprétation des traités constitutifs sont « </w:t>
      </w:r>
      <w:r w:rsidRPr="00695693">
        <w:rPr>
          <w:rFonts w:ascii="Times New Roman" w:hAnsi="Times New Roman" w:cs="Times New Roman"/>
          <w:i/>
          <w:sz w:val="24"/>
          <w:szCs w:val="24"/>
        </w:rPr>
        <w:t>fournies par le droit international général, et notamment par la convention de vienne du 23 mai 1969 sur le droit des traités ; moyennant certains aménagements, elles devraient également présider à l’interprétation du droit dérivé</w:t>
      </w:r>
      <w:r w:rsidRPr="00695693">
        <w:rPr>
          <w:rFonts w:ascii="Times New Roman" w:hAnsi="Times New Roman" w:cs="Times New Roman"/>
          <w:sz w:val="24"/>
          <w:szCs w:val="24"/>
        </w:rPr>
        <w:t xml:space="preserve"> »</w:t>
      </w:r>
      <w:r w:rsidRPr="00695693">
        <w:rPr>
          <w:rStyle w:val="Appelnotedebasdep"/>
          <w:rFonts w:ascii="Times New Roman" w:hAnsi="Times New Roman" w:cs="Times New Roman"/>
          <w:sz w:val="24"/>
          <w:szCs w:val="24"/>
        </w:rPr>
        <w:footnoteReference w:id="134"/>
      </w:r>
      <w:r w:rsidRPr="00695693">
        <w:rPr>
          <w:rFonts w:ascii="Times New Roman" w:hAnsi="Times New Roman" w:cs="Times New Roman"/>
          <w:sz w:val="24"/>
          <w:szCs w:val="24"/>
        </w:rPr>
        <w:t xml:space="preserve"> . Ainsi, l’art. 31 de cette convention dispose qu’ « </w:t>
      </w:r>
      <w:r w:rsidRPr="00695693">
        <w:rPr>
          <w:rFonts w:ascii="Times New Roman" w:hAnsi="Times New Roman" w:cs="Times New Roman"/>
          <w:i/>
          <w:sz w:val="24"/>
          <w:szCs w:val="24"/>
        </w:rPr>
        <w:t>aux fins de l’interprétation d’un traité, le contexte comprend, outre le text</w:t>
      </w:r>
      <w:r w:rsidR="00B83B60">
        <w:rPr>
          <w:rFonts w:ascii="Times New Roman" w:hAnsi="Times New Roman" w:cs="Times New Roman"/>
          <w:i/>
          <w:sz w:val="24"/>
          <w:szCs w:val="24"/>
        </w:rPr>
        <w:t>e, préambule et annexes inclus</w:t>
      </w:r>
      <w:r w:rsidRPr="00695693">
        <w:rPr>
          <w:rFonts w:ascii="Times New Roman" w:hAnsi="Times New Roman" w:cs="Times New Roman"/>
          <w:sz w:val="24"/>
          <w:szCs w:val="24"/>
        </w:rPr>
        <w:t>… »</w:t>
      </w:r>
      <w:r w:rsidR="00834C5E" w:rsidRPr="00695693">
        <w:rPr>
          <w:rStyle w:val="Appelnotedebasdep"/>
          <w:rFonts w:ascii="Times New Roman" w:hAnsi="Times New Roman" w:cs="Times New Roman"/>
          <w:sz w:val="24"/>
          <w:szCs w:val="24"/>
        </w:rPr>
        <w:footnoteReference w:id="135"/>
      </w:r>
      <w:r w:rsidR="00031AC0" w:rsidRPr="00695693">
        <w:rPr>
          <w:rFonts w:ascii="Times New Roman" w:hAnsi="Times New Roman" w:cs="Times New Roman"/>
          <w:sz w:val="24"/>
          <w:szCs w:val="24"/>
        </w:rPr>
        <w:t xml:space="preserve"> . </w:t>
      </w:r>
      <w:r w:rsidRPr="00695693">
        <w:rPr>
          <w:rFonts w:ascii="Times New Roman" w:hAnsi="Times New Roman" w:cs="Times New Roman"/>
          <w:sz w:val="24"/>
          <w:szCs w:val="24"/>
        </w:rPr>
        <w:t>En droit CEDEAO, rien n’empêche le juge CEDEAO de suivre le pas de son homologue européen, en acceptant de se référer aux règles d’interprétation fournies par la convention de vienne, pour interpréter la disposition en question.</w:t>
      </w:r>
      <w:r w:rsidR="00774712" w:rsidRPr="00695693">
        <w:rPr>
          <w:rFonts w:ascii="Times New Roman" w:hAnsi="Times New Roman" w:cs="Times New Roman"/>
          <w:sz w:val="24"/>
          <w:szCs w:val="24"/>
        </w:rPr>
        <w:t xml:space="preserve"> Cependant, </w:t>
      </w:r>
      <w:r w:rsidR="00982926">
        <w:rPr>
          <w:rFonts w:ascii="Times New Roman" w:hAnsi="Times New Roman" w:cs="Times New Roman"/>
          <w:sz w:val="24"/>
          <w:szCs w:val="24"/>
        </w:rPr>
        <w:t xml:space="preserve">si la Cour a reçu compétence exclusive pour interpréter le sens du droit communautaire, elle n’en demeure pas moins compétente, à l’occasion du renvoi préjudiciel en appréciation de validité, pour l’appréciation de la validité d’un acte communautaire.  </w:t>
      </w:r>
    </w:p>
    <w:p w:rsidR="005954A3" w:rsidRPr="00802E04" w:rsidRDefault="00694424" w:rsidP="0037430F">
      <w:pPr>
        <w:pStyle w:val="Titre5"/>
      </w:pPr>
      <w:bookmarkStart w:id="37" w:name="_Toc518672792"/>
      <w:r w:rsidRPr="00802E04">
        <w:t>B. Le</w:t>
      </w:r>
      <w:r w:rsidR="001145A3" w:rsidRPr="00802E04">
        <w:t xml:space="preserve"> rôle de la Cour de justice en matière d’appréciation de validité</w:t>
      </w:r>
      <w:bookmarkEnd w:id="37"/>
    </w:p>
    <w:p w:rsidR="005954A3" w:rsidRPr="005954A3" w:rsidRDefault="00C61C3B" w:rsidP="00695693">
      <w:pPr>
        <w:spacing w:line="360" w:lineRule="auto"/>
        <w:jc w:val="both"/>
        <w:rPr>
          <w:rFonts w:ascii="Times New Roman" w:hAnsi="Times New Roman" w:cs="Times New Roman"/>
          <w:b/>
          <w:sz w:val="24"/>
          <w:szCs w:val="24"/>
        </w:rPr>
      </w:pPr>
      <w:r>
        <w:rPr>
          <w:rFonts w:ascii="Times New Roman" w:hAnsi="Times New Roman" w:cs="Times New Roman"/>
          <w:sz w:val="24"/>
          <w:szCs w:val="24"/>
        </w:rPr>
        <w:t>A la différence du renvoi</w:t>
      </w:r>
      <w:r w:rsidR="008D553F" w:rsidRPr="00695693">
        <w:rPr>
          <w:rFonts w:ascii="Times New Roman" w:hAnsi="Times New Roman" w:cs="Times New Roman"/>
          <w:sz w:val="24"/>
          <w:szCs w:val="24"/>
        </w:rPr>
        <w:t xml:space="preserve"> en interprétation</w:t>
      </w:r>
      <w:r w:rsidR="008D553F" w:rsidRPr="00695693">
        <w:rPr>
          <w:rStyle w:val="Appelnotedebasdep"/>
          <w:rFonts w:ascii="Times New Roman" w:hAnsi="Times New Roman" w:cs="Times New Roman"/>
          <w:sz w:val="24"/>
          <w:szCs w:val="24"/>
        </w:rPr>
        <w:footnoteReference w:id="136"/>
      </w:r>
      <w:r w:rsidR="008D553F" w:rsidRPr="00695693">
        <w:rPr>
          <w:rFonts w:ascii="Times New Roman" w:hAnsi="Times New Roman" w:cs="Times New Roman"/>
          <w:sz w:val="24"/>
          <w:szCs w:val="24"/>
        </w:rPr>
        <w:t>, celui en appréciation de validité ne peut uniquement porter que sur les actes du droit communautaire dérivé</w:t>
      </w:r>
      <w:r w:rsidR="00694424" w:rsidRPr="00695693">
        <w:rPr>
          <w:rFonts w:ascii="Times New Roman" w:hAnsi="Times New Roman" w:cs="Times New Roman"/>
          <w:sz w:val="24"/>
          <w:szCs w:val="24"/>
        </w:rPr>
        <w:t xml:space="preserve">. </w:t>
      </w:r>
      <w:r w:rsidR="008D553F" w:rsidRPr="00695693">
        <w:rPr>
          <w:rFonts w:ascii="Times New Roman" w:hAnsi="Times New Roman" w:cs="Times New Roman"/>
          <w:sz w:val="24"/>
          <w:szCs w:val="24"/>
        </w:rPr>
        <w:t xml:space="preserve">Ainsi, </w:t>
      </w:r>
      <w:r w:rsidR="007F0C96" w:rsidRPr="00695693">
        <w:rPr>
          <w:rFonts w:ascii="Times New Roman" w:hAnsi="Times New Roman" w:cs="Times New Roman"/>
          <w:sz w:val="24"/>
          <w:szCs w:val="24"/>
        </w:rPr>
        <w:t xml:space="preserve">en matière d’appréciation de validité, </w:t>
      </w:r>
      <w:r w:rsidR="00694424" w:rsidRPr="00695693">
        <w:rPr>
          <w:rFonts w:ascii="Times New Roman" w:hAnsi="Times New Roman" w:cs="Times New Roman"/>
          <w:sz w:val="24"/>
          <w:szCs w:val="24"/>
        </w:rPr>
        <w:t>le souci du juge national, à ce niveau, est de questionner la Cour sur le point de savoir si une disposition du droit communautaire dérivé applicable dans un litige est conforme aux règles hiérarchiq</w:t>
      </w:r>
      <w:r w:rsidR="008D553F" w:rsidRPr="00695693">
        <w:rPr>
          <w:rFonts w:ascii="Times New Roman" w:hAnsi="Times New Roman" w:cs="Times New Roman"/>
          <w:sz w:val="24"/>
          <w:szCs w:val="24"/>
        </w:rPr>
        <w:t>uement supérieures.  Dans ce cas, la mission</w:t>
      </w:r>
      <w:r w:rsidR="00694424" w:rsidRPr="00695693">
        <w:rPr>
          <w:rFonts w:ascii="Times New Roman" w:hAnsi="Times New Roman" w:cs="Times New Roman"/>
          <w:sz w:val="24"/>
          <w:szCs w:val="24"/>
        </w:rPr>
        <w:t xml:space="preserve"> de la CJ/CEDEAO se borne seulement à exercer son contrôle sur </w:t>
      </w:r>
      <w:r w:rsidR="00193652" w:rsidRPr="00695693">
        <w:rPr>
          <w:rFonts w:ascii="Times New Roman" w:hAnsi="Times New Roman" w:cs="Times New Roman"/>
          <w:sz w:val="24"/>
          <w:szCs w:val="24"/>
        </w:rPr>
        <w:t>l’</w:t>
      </w:r>
      <w:r w:rsidR="00694424" w:rsidRPr="00695693">
        <w:rPr>
          <w:rFonts w:ascii="Times New Roman" w:hAnsi="Times New Roman" w:cs="Times New Roman"/>
          <w:sz w:val="24"/>
          <w:szCs w:val="24"/>
        </w:rPr>
        <w:t xml:space="preserve">acte communautaire </w:t>
      </w:r>
      <w:r w:rsidR="00193652" w:rsidRPr="00695693">
        <w:rPr>
          <w:rFonts w:ascii="Times New Roman" w:hAnsi="Times New Roman" w:cs="Times New Roman"/>
          <w:sz w:val="24"/>
          <w:szCs w:val="24"/>
        </w:rPr>
        <w:t xml:space="preserve">en cause </w:t>
      </w:r>
      <w:r w:rsidR="00694424" w:rsidRPr="00695693">
        <w:rPr>
          <w:rFonts w:ascii="Times New Roman" w:hAnsi="Times New Roman" w:cs="Times New Roman"/>
          <w:sz w:val="24"/>
          <w:szCs w:val="24"/>
        </w:rPr>
        <w:t xml:space="preserve">devant le juge national. </w:t>
      </w:r>
      <w:r w:rsidR="00EC56DA">
        <w:rPr>
          <w:rFonts w:ascii="Times New Roman" w:hAnsi="Times New Roman" w:cs="Times New Roman"/>
          <w:sz w:val="24"/>
          <w:szCs w:val="24"/>
        </w:rPr>
        <w:t>Cependant,</w:t>
      </w:r>
      <w:r w:rsidR="004662F6">
        <w:t xml:space="preserve">si </w:t>
      </w:r>
      <w:r w:rsidR="00EC56DA" w:rsidRPr="00EC56DA">
        <w:rPr>
          <w:rFonts w:ascii="Times New Roman" w:hAnsi="Times New Roman" w:cs="Times New Roman"/>
          <w:sz w:val="24"/>
          <w:szCs w:val="24"/>
        </w:rPr>
        <w:t xml:space="preserve">l’analyse de l’art. 10, </w:t>
      </w:r>
      <w:r w:rsidR="004662F6">
        <w:rPr>
          <w:rFonts w:ascii="Times New Roman" w:hAnsi="Times New Roman" w:cs="Times New Roman"/>
          <w:sz w:val="24"/>
          <w:szCs w:val="24"/>
        </w:rPr>
        <w:t xml:space="preserve">point </w:t>
      </w:r>
      <w:r w:rsidR="00EC56DA" w:rsidRPr="00EC56DA">
        <w:rPr>
          <w:rFonts w:ascii="Times New Roman" w:hAnsi="Times New Roman" w:cs="Times New Roman"/>
          <w:sz w:val="24"/>
          <w:szCs w:val="24"/>
        </w:rPr>
        <w:t>f du proto</w:t>
      </w:r>
      <w:r w:rsidR="004662F6">
        <w:rPr>
          <w:rFonts w:ascii="Times New Roman" w:hAnsi="Times New Roman" w:cs="Times New Roman"/>
          <w:sz w:val="24"/>
          <w:szCs w:val="24"/>
        </w:rPr>
        <w:t>cole d’Accra de 19 janvier 2005 laisse comprendre que le renvoi</w:t>
      </w:r>
      <w:r w:rsidR="00EC56DA" w:rsidRPr="00EC56DA">
        <w:rPr>
          <w:rFonts w:ascii="Times New Roman" w:hAnsi="Times New Roman" w:cs="Times New Roman"/>
          <w:sz w:val="24"/>
          <w:szCs w:val="24"/>
        </w:rPr>
        <w:t xml:space="preserve"> préjudiciel en appréciation de validité </w:t>
      </w:r>
      <w:r w:rsidR="004662F6">
        <w:rPr>
          <w:rFonts w:ascii="Times New Roman" w:hAnsi="Times New Roman" w:cs="Times New Roman"/>
          <w:sz w:val="24"/>
          <w:szCs w:val="24"/>
        </w:rPr>
        <w:t xml:space="preserve">n’est pas consacré par le législateur CEDEAO, il n’en demeure pas moins qu’il </w:t>
      </w:r>
      <w:r w:rsidR="00EC56DA" w:rsidRPr="00EC56DA">
        <w:rPr>
          <w:rFonts w:ascii="Times New Roman" w:hAnsi="Times New Roman" w:cs="Times New Roman"/>
          <w:sz w:val="24"/>
          <w:szCs w:val="24"/>
        </w:rPr>
        <w:t>relève des compétences implicites  de la Cour de justice de la CEDEAO au moins pour deux (2) raisons : la première est tirée de ce que le juge national n’est pas compétent pour contrôler la validité d’un acte CEDEAO</w:t>
      </w:r>
      <w:r w:rsidR="00EC56DA">
        <w:rPr>
          <w:rStyle w:val="Appelnotedebasdep"/>
          <w:rFonts w:ascii="Times New Roman" w:hAnsi="Times New Roman" w:cs="Times New Roman"/>
          <w:sz w:val="24"/>
          <w:szCs w:val="24"/>
        </w:rPr>
        <w:footnoteReference w:id="137"/>
      </w:r>
      <w:r w:rsidR="000B6815">
        <w:rPr>
          <w:rFonts w:ascii="Times New Roman" w:hAnsi="Times New Roman" w:cs="Times New Roman"/>
          <w:sz w:val="24"/>
          <w:szCs w:val="24"/>
        </w:rPr>
        <w:t xml:space="preserve">. </w:t>
      </w:r>
      <w:r w:rsidR="00EC56DA" w:rsidRPr="00EC56DA">
        <w:rPr>
          <w:rFonts w:ascii="Times New Roman" w:hAnsi="Times New Roman" w:cs="Times New Roman"/>
          <w:sz w:val="24"/>
          <w:szCs w:val="24"/>
        </w:rPr>
        <w:t xml:space="preserve">Il est donc obligé de se référer à la CJ/CEDEAO lorsqu’une contestation </w:t>
      </w:r>
      <w:r w:rsidR="00EC56DA" w:rsidRPr="00EC56DA">
        <w:rPr>
          <w:rFonts w:ascii="Times New Roman" w:hAnsi="Times New Roman" w:cs="Times New Roman"/>
          <w:sz w:val="24"/>
          <w:szCs w:val="24"/>
        </w:rPr>
        <w:lastRenderedPageBreak/>
        <w:t>concernant la validité d’un acte relevant de l’ordre juridique CEDEAO est soulevée devant lui. La seconde raison est tirée de ce que le contrôle préjudiciel de validité d’un acte communautaire doit obligatoirement être soumis à la CJ/CEDEAO qui, en vertu de l’art. 22 du protocole de 1991, dispose de la compétence générale et exclusive de veiller au respect du droit dans l’application ou l’interprétation des dispositions du Traité.</w:t>
      </w:r>
    </w:p>
    <w:p w:rsidR="000B2CBE" w:rsidRPr="00695693" w:rsidRDefault="00E4293A" w:rsidP="006956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Toutefois, ce type de recours n’est pas à confondre avec le recours en annulation. Ainsi, alors </w:t>
      </w:r>
      <w:r w:rsidR="00422F25">
        <w:rPr>
          <w:rFonts w:ascii="Times New Roman" w:hAnsi="Times New Roman" w:cs="Times New Roman"/>
          <w:sz w:val="24"/>
          <w:szCs w:val="24"/>
        </w:rPr>
        <w:t>même</w:t>
      </w:r>
      <w:r>
        <w:rPr>
          <w:rFonts w:ascii="Times New Roman" w:hAnsi="Times New Roman" w:cs="Times New Roman"/>
          <w:sz w:val="24"/>
          <w:szCs w:val="24"/>
        </w:rPr>
        <w:t xml:space="preserve"> qu’ils constituent deux modalités du contrôle de la légalité organisé par le traité, ils se distinguent par deux (02) grands traits. D’abord, contrairement au recours en annulation, celui en appréciation</w:t>
      </w:r>
      <w:r w:rsidR="00422F25">
        <w:rPr>
          <w:rFonts w:ascii="Times New Roman" w:hAnsi="Times New Roman" w:cs="Times New Roman"/>
          <w:sz w:val="24"/>
          <w:szCs w:val="24"/>
        </w:rPr>
        <w:t xml:space="preserve"> de validité n’oblige ni de respecter le délai de deux mois pour mettre en </w:t>
      </w:r>
      <w:r w:rsidR="00D6388E">
        <w:rPr>
          <w:rFonts w:ascii="Times New Roman" w:hAnsi="Times New Roman" w:cs="Times New Roman"/>
          <w:sz w:val="24"/>
          <w:szCs w:val="24"/>
        </w:rPr>
        <w:t>cause la validité d’un acte, ni</w:t>
      </w:r>
      <w:r w:rsidR="00422F25">
        <w:rPr>
          <w:rFonts w:ascii="Times New Roman" w:hAnsi="Times New Roman" w:cs="Times New Roman"/>
          <w:sz w:val="24"/>
          <w:szCs w:val="24"/>
        </w:rPr>
        <w:t xml:space="preserve"> en ce qui concerne les personnes physiques ou morales, de rapporter la preuve d’avoir été affectées par l’acte en cause directement et individuellement</w:t>
      </w:r>
      <w:r w:rsidR="00422F25">
        <w:rPr>
          <w:rStyle w:val="Appelnotedebasdep"/>
          <w:rFonts w:ascii="Times New Roman" w:hAnsi="Times New Roman" w:cs="Times New Roman"/>
          <w:sz w:val="24"/>
          <w:szCs w:val="24"/>
        </w:rPr>
        <w:footnoteReference w:id="138"/>
      </w:r>
      <w:r w:rsidR="005954A3">
        <w:rPr>
          <w:rFonts w:ascii="Times New Roman" w:hAnsi="Times New Roman" w:cs="Times New Roman"/>
          <w:sz w:val="24"/>
          <w:szCs w:val="24"/>
        </w:rPr>
        <w:t> ; e</w:t>
      </w:r>
      <w:r w:rsidR="001109DA">
        <w:rPr>
          <w:rFonts w:ascii="Times New Roman" w:hAnsi="Times New Roman" w:cs="Times New Roman"/>
          <w:sz w:val="24"/>
          <w:szCs w:val="24"/>
        </w:rPr>
        <w:t>nfin, alors qu’un arrêt d’annulation étend ses effets à l’acte annulé lui-même en l’anéantissant, c’est-à-dire en l’éliminant de l’ordre juridique, l’</w:t>
      </w:r>
      <w:r w:rsidR="00D600A6">
        <w:rPr>
          <w:rFonts w:ascii="Times New Roman" w:hAnsi="Times New Roman" w:cs="Times New Roman"/>
          <w:sz w:val="24"/>
          <w:szCs w:val="24"/>
        </w:rPr>
        <w:t>arrêt</w:t>
      </w:r>
      <w:r w:rsidR="001109DA">
        <w:rPr>
          <w:rFonts w:ascii="Times New Roman" w:hAnsi="Times New Roman" w:cs="Times New Roman"/>
          <w:sz w:val="24"/>
          <w:szCs w:val="24"/>
        </w:rPr>
        <w:t xml:space="preserve"> de déclaration d’invalidité étend toujours ses effets aux juridictions pour le cas où elles seraient invitées à appliquer ledit acte</w:t>
      </w:r>
      <w:r w:rsidR="001109DA">
        <w:rPr>
          <w:rStyle w:val="Appelnotedebasdep"/>
          <w:rFonts w:ascii="Times New Roman" w:hAnsi="Times New Roman" w:cs="Times New Roman"/>
          <w:sz w:val="24"/>
          <w:szCs w:val="24"/>
        </w:rPr>
        <w:footnoteReference w:id="139"/>
      </w:r>
      <w:r w:rsidR="00D600A6">
        <w:rPr>
          <w:rFonts w:ascii="Times New Roman" w:hAnsi="Times New Roman" w:cs="Times New Roman"/>
          <w:sz w:val="24"/>
          <w:szCs w:val="24"/>
        </w:rPr>
        <w:t xml:space="preserve">. </w:t>
      </w:r>
      <w:r w:rsidR="00303536">
        <w:rPr>
          <w:rFonts w:ascii="Times New Roman" w:hAnsi="Times New Roman" w:cs="Times New Roman"/>
          <w:sz w:val="24"/>
          <w:szCs w:val="24"/>
        </w:rPr>
        <w:t xml:space="preserve">Dans sa mission d’appréciation de validité, la Cour de justice </w:t>
      </w:r>
      <w:r w:rsidR="00694424" w:rsidRPr="00695693">
        <w:rPr>
          <w:rFonts w:ascii="Times New Roman" w:hAnsi="Times New Roman" w:cs="Times New Roman"/>
          <w:sz w:val="24"/>
          <w:szCs w:val="24"/>
        </w:rPr>
        <w:t xml:space="preserve">ne peut ni appliquer le droit de la communauté au cas d’espèce, </w:t>
      </w:r>
      <w:r w:rsidR="00694424" w:rsidRPr="00CA2DCF">
        <w:rPr>
          <w:rFonts w:ascii="Times New Roman" w:hAnsi="Times New Roman" w:cs="Times New Roman"/>
          <w:sz w:val="24"/>
          <w:szCs w:val="24"/>
        </w:rPr>
        <w:t>ni contrôler la conformité d’un acte ou d’une législation nationale au droit de la Communauté</w:t>
      </w:r>
      <w:r w:rsidR="00780FD7" w:rsidRPr="00CA2DCF">
        <w:rPr>
          <w:rStyle w:val="Appelnotedebasdep"/>
          <w:rFonts w:ascii="Times New Roman" w:hAnsi="Times New Roman" w:cs="Times New Roman"/>
          <w:sz w:val="24"/>
          <w:szCs w:val="24"/>
        </w:rPr>
        <w:footnoteReference w:id="140"/>
      </w:r>
      <w:r w:rsidR="00694424" w:rsidRPr="00CA2DCF">
        <w:rPr>
          <w:rFonts w:ascii="Times New Roman" w:hAnsi="Times New Roman" w:cs="Times New Roman"/>
          <w:sz w:val="24"/>
          <w:szCs w:val="24"/>
        </w:rPr>
        <w:t xml:space="preserve">. </w:t>
      </w:r>
      <w:r w:rsidR="00694424" w:rsidRPr="00695693">
        <w:rPr>
          <w:rFonts w:ascii="Times New Roman" w:hAnsi="Times New Roman" w:cs="Times New Roman"/>
          <w:sz w:val="24"/>
          <w:szCs w:val="24"/>
        </w:rPr>
        <w:t xml:space="preserve">Il s’agit d’une règle fondamentale que la Cour doit respecter en vertu du principe de la répartition des compétences entre les institutions de la communauté et celles des Etats membres. Ce principe fait obligation à chacune de ces institutions de bien garder la mission qui lui a été assignée par le Traité de base. </w:t>
      </w:r>
      <w:r w:rsidR="008D553F" w:rsidRPr="00695693">
        <w:rPr>
          <w:rFonts w:ascii="Times New Roman" w:hAnsi="Times New Roman" w:cs="Times New Roman"/>
          <w:sz w:val="24"/>
          <w:szCs w:val="24"/>
        </w:rPr>
        <w:t>Cependant, en matière d’</w:t>
      </w:r>
      <w:r w:rsidR="0041745C" w:rsidRPr="00695693">
        <w:rPr>
          <w:rFonts w:ascii="Times New Roman" w:hAnsi="Times New Roman" w:cs="Times New Roman"/>
          <w:sz w:val="24"/>
          <w:szCs w:val="24"/>
        </w:rPr>
        <w:t xml:space="preserve">appréciation de validité, </w:t>
      </w:r>
      <w:r w:rsidR="00694424" w:rsidRPr="00695693">
        <w:rPr>
          <w:rFonts w:ascii="Times New Roman" w:hAnsi="Times New Roman" w:cs="Times New Roman"/>
          <w:sz w:val="24"/>
          <w:szCs w:val="24"/>
        </w:rPr>
        <w:t>le juge CEDEAO, à l’image de s</w:t>
      </w:r>
      <w:r w:rsidR="00BA4501" w:rsidRPr="00695693">
        <w:rPr>
          <w:rFonts w:ascii="Times New Roman" w:hAnsi="Times New Roman" w:cs="Times New Roman"/>
          <w:sz w:val="24"/>
          <w:szCs w:val="24"/>
        </w:rPr>
        <w:t xml:space="preserve">es </w:t>
      </w:r>
      <w:r w:rsidR="00694424" w:rsidRPr="00695693">
        <w:rPr>
          <w:rFonts w:ascii="Times New Roman" w:hAnsi="Times New Roman" w:cs="Times New Roman"/>
          <w:sz w:val="24"/>
          <w:szCs w:val="24"/>
        </w:rPr>
        <w:t>homologue</w:t>
      </w:r>
      <w:r w:rsidR="00BA4501" w:rsidRPr="00695693">
        <w:rPr>
          <w:rFonts w:ascii="Times New Roman" w:hAnsi="Times New Roman" w:cs="Times New Roman"/>
          <w:sz w:val="24"/>
          <w:szCs w:val="24"/>
        </w:rPr>
        <w:t xml:space="preserve">s UEMOA et </w:t>
      </w:r>
      <w:r w:rsidR="00694424" w:rsidRPr="00695693">
        <w:rPr>
          <w:rFonts w:ascii="Times New Roman" w:hAnsi="Times New Roman" w:cs="Times New Roman"/>
          <w:sz w:val="24"/>
          <w:szCs w:val="24"/>
        </w:rPr>
        <w:t>européen, est tenu de se référer aux normes de référence. Celles-ci s’entendent des principes et règles à suivre dans l’appréciation des actes relevant des institutions de laCommunauté. Ces normes sont d’abord celles formant le droit communautaire originaire et celles du droit dérivé, hiérarchiquement supérieure.</w:t>
      </w:r>
    </w:p>
    <w:p w:rsidR="00090084" w:rsidRPr="00335B50" w:rsidRDefault="00335B50" w:rsidP="0069569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Cependant, o</w:t>
      </w:r>
      <w:r w:rsidR="00090084" w:rsidRPr="00335B50">
        <w:rPr>
          <w:rFonts w:ascii="Times New Roman" w:hAnsi="Times New Roman" w:cs="Times New Roman"/>
          <w:sz w:val="24"/>
          <w:szCs w:val="24"/>
        </w:rPr>
        <w:t xml:space="preserve">utre l’existence des outils de mise en œuvre, le législateur CEDEAO </w:t>
      </w:r>
      <w:r w:rsidR="00F64CA2" w:rsidRPr="00335B50">
        <w:rPr>
          <w:rFonts w:ascii="Times New Roman" w:hAnsi="Times New Roman" w:cs="Times New Roman"/>
          <w:sz w:val="24"/>
          <w:szCs w:val="24"/>
        </w:rPr>
        <w:t xml:space="preserve">n’est pas à l’encontre </w:t>
      </w:r>
      <w:r w:rsidR="00090084" w:rsidRPr="00335B50">
        <w:rPr>
          <w:rFonts w:ascii="Times New Roman" w:hAnsi="Times New Roman" w:cs="Times New Roman"/>
          <w:sz w:val="24"/>
          <w:szCs w:val="24"/>
        </w:rPr>
        <w:t xml:space="preserve">de </w:t>
      </w:r>
      <w:r w:rsidR="00F64CA2" w:rsidRPr="00335B50">
        <w:rPr>
          <w:rFonts w:ascii="Times New Roman" w:hAnsi="Times New Roman" w:cs="Times New Roman"/>
          <w:sz w:val="24"/>
          <w:szCs w:val="24"/>
        </w:rPr>
        <w:t xml:space="preserve">la </w:t>
      </w:r>
      <w:r w:rsidR="00090084" w:rsidRPr="00335B50">
        <w:rPr>
          <w:rFonts w:ascii="Times New Roman" w:hAnsi="Times New Roman" w:cs="Times New Roman"/>
          <w:sz w:val="24"/>
          <w:szCs w:val="24"/>
        </w:rPr>
        <w:t>soum</w:t>
      </w:r>
      <w:r w:rsidR="00F64CA2" w:rsidRPr="00335B50">
        <w:rPr>
          <w:rFonts w:ascii="Times New Roman" w:hAnsi="Times New Roman" w:cs="Times New Roman"/>
          <w:sz w:val="24"/>
          <w:szCs w:val="24"/>
        </w:rPr>
        <w:t>ission de</w:t>
      </w:r>
      <w:r w:rsidR="00090084" w:rsidRPr="00335B50">
        <w:rPr>
          <w:rFonts w:ascii="Times New Roman" w:hAnsi="Times New Roman" w:cs="Times New Roman"/>
          <w:sz w:val="24"/>
          <w:szCs w:val="24"/>
        </w:rPr>
        <w:t xml:space="preserve"> l’exercice d</w:t>
      </w:r>
      <w:r w:rsidR="00F64CA2" w:rsidRPr="00335B50">
        <w:rPr>
          <w:rFonts w:ascii="Times New Roman" w:hAnsi="Times New Roman" w:cs="Times New Roman"/>
          <w:sz w:val="24"/>
          <w:szCs w:val="24"/>
        </w:rPr>
        <w:t>u mécanisme d</w:t>
      </w:r>
      <w:r w:rsidR="00090084" w:rsidRPr="00335B50">
        <w:rPr>
          <w:rFonts w:ascii="Times New Roman" w:hAnsi="Times New Roman" w:cs="Times New Roman"/>
          <w:sz w:val="24"/>
          <w:szCs w:val="24"/>
        </w:rPr>
        <w:t xml:space="preserve">e </w:t>
      </w:r>
      <w:r w:rsidR="00F64CA2" w:rsidRPr="00335B50">
        <w:rPr>
          <w:rFonts w:ascii="Times New Roman" w:hAnsi="Times New Roman" w:cs="Times New Roman"/>
          <w:sz w:val="24"/>
          <w:szCs w:val="24"/>
        </w:rPr>
        <w:t>renvoi</w:t>
      </w:r>
      <w:r w:rsidR="00090084" w:rsidRPr="00335B50">
        <w:rPr>
          <w:rFonts w:ascii="Times New Roman" w:hAnsi="Times New Roman" w:cs="Times New Roman"/>
          <w:sz w:val="24"/>
          <w:szCs w:val="24"/>
        </w:rPr>
        <w:t xml:space="preserve"> préjudiciel à la réunion des conditions générales </w:t>
      </w:r>
      <w:r w:rsidR="00323236">
        <w:rPr>
          <w:rFonts w:ascii="Times New Roman" w:hAnsi="Times New Roman" w:cs="Times New Roman"/>
          <w:sz w:val="24"/>
          <w:szCs w:val="24"/>
        </w:rPr>
        <w:t xml:space="preserve">pendant </w:t>
      </w:r>
      <w:r w:rsidR="00090084" w:rsidRPr="00335B50">
        <w:rPr>
          <w:rFonts w:ascii="Times New Roman" w:hAnsi="Times New Roman" w:cs="Times New Roman"/>
          <w:sz w:val="24"/>
          <w:szCs w:val="24"/>
        </w:rPr>
        <w:t>l’instance préjudicielle.</w:t>
      </w:r>
    </w:p>
    <w:p w:rsidR="007F0C96" w:rsidRPr="00695693" w:rsidRDefault="007F0C96" w:rsidP="00695693">
      <w:pPr>
        <w:spacing w:line="360" w:lineRule="auto"/>
        <w:jc w:val="both"/>
        <w:rPr>
          <w:rFonts w:ascii="Times New Roman" w:hAnsi="Times New Roman" w:cs="Times New Roman"/>
          <w:sz w:val="24"/>
          <w:szCs w:val="24"/>
        </w:rPr>
      </w:pPr>
    </w:p>
    <w:p w:rsidR="007F0C96" w:rsidRPr="00695693" w:rsidRDefault="007F0C96" w:rsidP="00695693">
      <w:pPr>
        <w:spacing w:line="360" w:lineRule="auto"/>
        <w:jc w:val="both"/>
        <w:rPr>
          <w:rFonts w:ascii="Times New Roman" w:hAnsi="Times New Roman" w:cs="Times New Roman"/>
          <w:sz w:val="24"/>
          <w:szCs w:val="24"/>
        </w:rPr>
      </w:pPr>
    </w:p>
    <w:p w:rsidR="001012C9" w:rsidRPr="00695693" w:rsidRDefault="001012C9" w:rsidP="00695693">
      <w:pPr>
        <w:spacing w:line="360" w:lineRule="auto"/>
        <w:jc w:val="both"/>
        <w:rPr>
          <w:rFonts w:ascii="Times New Roman" w:hAnsi="Times New Roman" w:cs="Times New Roman"/>
          <w:sz w:val="24"/>
          <w:szCs w:val="24"/>
        </w:rPr>
      </w:pPr>
    </w:p>
    <w:p w:rsidR="001012C9" w:rsidRPr="00695693" w:rsidRDefault="001012C9" w:rsidP="00695693">
      <w:pPr>
        <w:spacing w:line="360" w:lineRule="auto"/>
        <w:jc w:val="both"/>
        <w:rPr>
          <w:rFonts w:ascii="Times New Roman" w:hAnsi="Times New Roman" w:cs="Times New Roman"/>
          <w:sz w:val="24"/>
          <w:szCs w:val="24"/>
        </w:rPr>
      </w:pPr>
    </w:p>
    <w:p w:rsidR="001012C9" w:rsidRPr="00695693" w:rsidRDefault="001012C9" w:rsidP="00695693">
      <w:pPr>
        <w:spacing w:line="360" w:lineRule="auto"/>
        <w:jc w:val="both"/>
        <w:rPr>
          <w:rFonts w:ascii="Times New Roman" w:hAnsi="Times New Roman" w:cs="Times New Roman"/>
          <w:sz w:val="24"/>
          <w:szCs w:val="24"/>
        </w:rPr>
      </w:pPr>
    </w:p>
    <w:p w:rsidR="00353C65" w:rsidRPr="00695693" w:rsidRDefault="00353C65" w:rsidP="00695693">
      <w:pPr>
        <w:spacing w:line="360" w:lineRule="auto"/>
        <w:jc w:val="both"/>
        <w:rPr>
          <w:rFonts w:ascii="Times New Roman" w:hAnsi="Times New Roman" w:cs="Times New Roman"/>
          <w:sz w:val="24"/>
          <w:szCs w:val="24"/>
        </w:rPr>
      </w:pPr>
    </w:p>
    <w:p w:rsidR="00843E42" w:rsidRPr="005D5089" w:rsidRDefault="00843E42" w:rsidP="005D5089">
      <w:bookmarkStart w:id="38" w:name="_Toc515108226"/>
    </w:p>
    <w:p w:rsidR="00843E42" w:rsidRPr="005D5089" w:rsidRDefault="00843E42" w:rsidP="005D5089"/>
    <w:p w:rsidR="00843E42" w:rsidRPr="005D5089" w:rsidRDefault="00843E42" w:rsidP="005D5089"/>
    <w:p w:rsidR="00843E42" w:rsidRPr="005D5089" w:rsidRDefault="00843E42" w:rsidP="005D5089"/>
    <w:p w:rsidR="00843E42" w:rsidRPr="005D5089" w:rsidRDefault="00843E42" w:rsidP="005D5089"/>
    <w:p w:rsidR="00843E42" w:rsidRPr="005D5089" w:rsidRDefault="00843E42" w:rsidP="005D5089"/>
    <w:p w:rsidR="000552F8" w:rsidRPr="005D5089" w:rsidRDefault="000552F8" w:rsidP="005D5089"/>
    <w:p w:rsidR="000552F8" w:rsidRPr="005D5089" w:rsidRDefault="000552F8" w:rsidP="005D5089"/>
    <w:p w:rsidR="00450661" w:rsidRDefault="00450661">
      <w:r>
        <w:br w:type="page"/>
      </w:r>
    </w:p>
    <w:p w:rsidR="004D76B8" w:rsidRPr="001E26D1" w:rsidRDefault="00694424" w:rsidP="005B471C">
      <w:pPr>
        <w:pStyle w:val="Titre2"/>
      </w:pPr>
      <w:bookmarkStart w:id="39" w:name="_Toc518671707"/>
      <w:bookmarkStart w:id="40" w:name="_Toc518672793"/>
      <w:r w:rsidRPr="001E26D1">
        <w:lastRenderedPageBreak/>
        <w:t>CHAPITRE</w:t>
      </w:r>
      <w:r w:rsidR="007C576C" w:rsidRPr="001E26D1">
        <w:t xml:space="preserve"> II</w:t>
      </w:r>
      <w:r w:rsidRPr="001E26D1">
        <w:t> : L’INSTANCE PREJUDICIELLE</w:t>
      </w:r>
      <w:bookmarkEnd w:id="38"/>
      <w:bookmarkEnd w:id="39"/>
      <w:bookmarkEnd w:id="40"/>
    </w:p>
    <w:p w:rsidR="004D76B8" w:rsidRPr="00695693" w:rsidRDefault="004F5118"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Largement inspirée du droit </w:t>
      </w:r>
      <w:r w:rsidR="00A157A1" w:rsidRPr="00695693">
        <w:rPr>
          <w:rFonts w:ascii="Times New Roman" w:hAnsi="Times New Roman" w:cs="Times New Roman"/>
          <w:sz w:val="24"/>
          <w:szCs w:val="24"/>
        </w:rPr>
        <w:t>judiciaire privé</w:t>
      </w:r>
      <w:r w:rsidRPr="00695693">
        <w:rPr>
          <w:rFonts w:ascii="Times New Roman" w:hAnsi="Times New Roman" w:cs="Times New Roman"/>
          <w:sz w:val="24"/>
          <w:szCs w:val="24"/>
        </w:rPr>
        <w:t xml:space="preserve"> et du contentieux administratif de droit interne, l’instance est entendue comme </w:t>
      </w:r>
      <w:r w:rsidR="00694424" w:rsidRPr="00695693">
        <w:rPr>
          <w:rFonts w:ascii="Times New Roman" w:hAnsi="Times New Roman" w:cs="Times New Roman"/>
          <w:sz w:val="24"/>
          <w:szCs w:val="24"/>
        </w:rPr>
        <w:t>« </w:t>
      </w:r>
      <w:r w:rsidR="00694424" w:rsidRPr="00695693">
        <w:rPr>
          <w:rFonts w:ascii="Times New Roman" w:hAnsi="Times New Roman" w:cs="Times New Roman"/>
          <w:i/>
          <w:sz w:val="24"/>
          <w:szCs w:val="24"/>
        </w:rPr>
        <w:t>une suite d’actes de procédure allant de la demande en justice jusqu’au jugement </w:t>
      </w:r>
      <w:r w:rsidR="00694424" w:rsidRPr="00695693">
        <w:rPr>
          <w:rFonts w:ascii="Times New Roman" w:hAnsi="Times New Roman" w:cs="Times New Roman"/>
          <w:sz w:val="24"/>
          <w:szCs w:val="24"/>
        </w:rPr>
        <w:t>»</w:t>
      </w:r>
      <w:r w:rsidR="00694424" w:rsidRPr="00695693">
        <w:rPr>
          <w:rStyle w:val="Appelnotedebasdep"/>
          <w:rFonts w:ascii="Times New Roman" w:hAnsi="Times New Roman" w:cs="Times New Roman"/>
          <w:sz w:val="24"/>
          <w:szCs w:val="24"/>
        </w:rPr>
        <w:footnoteReference w:id="141"/>
      </w:r>
      <w:r w:rsidR="00694424" w:rsidRPr="00695693">
        <w:rPr>
          <w:rFonts w:ascii="Times New Roman" w:hAnsi="Times New Roman" w:cs="Times New Roman"/>
          <w:sz w:val="24"/>
          <w:szCs w:val="24"/>
        </w:rPr>
        <w:t xml:space="preserve">. </w:t>
      </w:r>
      <w:r w:rsidRPr="00695693">
        <w:rPr>
          <w:rFonts w:ascii="Times New Roman" w:hAnsi="Times New Roman" w:cs="Times New Roman"/>
          <w:sz w:val="24"/>
          <w:szCs w:val="24"/>
        </w:rPr>
        <w:t>En matière préjudicielle, l’</w:t>
      </w:r>
      <w:r w:rsidR="00694424" w:rsidRPr="00695693">
        <w:rPr>
          <w:rFonts w:ascii="Times New Roman" w:hAnsi="Times New Roman" w:cs="Times New Roman"/>
          <w:sz w:val="24"/>
          <w:szCs w:val="24"/>
        </w:rPr>
        <w:t>instance est définiecomme le processus qui est déclenché par l’exercice du recours préjudiciel, c’est-à-dire par la saisine du juge communautaire et qui se déroule jusqu’à ce que soit rendu le jugement.</w:t>
      </w:r>
      <w:r w:rsidR="006C3342">
        <w:rPr>
          <w:rFonts w:ascii="Times New Roman" w:hAnsi="Times New Roman" w:cs="Times New Roman"/>
          <w:sz w:val="24"/>
          <w:szCs w:val="24"/>
        </w:rPr>
        <w:t xml:space="preserve"> A cet égard</w:t>
      </w:r>
      <w:r w:rsidR="002F7CA3">
        <w:rPr>
          <w:rFonts w:ascii="Times New Roman" w:hAnsi="Times New Roman" w:cs="Times New Roman"/>
          <w:sz w:val="24"/>
          <w:szCs w:val="24"/>
        </w:rPr>
        <w:t>, il convient de relever</w:t>
      </w:r>
      <w:r w:rsidR="00A92576">
        <w:rPr>
          <w:rFonts w:ascii="Times New Roman" w:hAnsi="Times New Roman" w:cs="Times New Roman"/>
          <w:sz w:val="24"/>
          <w:szCs w:val="24"/>
        </w:rPr>
        <w:t xml:space="preserve"> que la</w:t>
      </w:r>
      <w:r w:rsidR="00694424" w:rsidRPr="00695693">
        <w:rPr>
          <w:rFonts w:ascii="Times New Roman" w:hAnsi="Times New Roman" w:cs="Times New Roman"/>
          <w:sz w:val="24"/>
          <w:szCs w:val="24"/>
        </w:rPr>
        <w:t xml:space="preserve"> mise en œuvre </w:t>
      </w:r>
      <w:r w:rsidR="00CD7657" w:rsidRPr="00C40CA9">
        <w:rPr>
          <w:rFonts w:ascii="Times New Roman" w:hAnsi="Times New Roman" w:cs="Times New Roman"/>
          <w:sz w:val="24"/>
          <w:szCs w:val="24"/>
        </w:rPr>
        <w:t xml:space="preserve">de l’instance préjudicielle </w:t>
      </w:r>
      <w:r w:rsidR="006D15D2" w:rsidRPr="00695693">
        <w:rPr>
          <w:rFonts w:ascii="Times New Roman" w:hAnsi="Times New Roman" w:cs="Times New Roman"/>
          <w:sz w:val="24"/>
          <w:szCs w:val="24"/>
        </w:rPr>
        <w:t>(</w:t>
      </w:r>
      <w:r w:rsidR="00CD7657" w:rsidRPr="00695693">
        <w:rPr>
          <w:rFonts w:ascii="Times New Roman" w:hAnsi="Times New Roman" w:cs="Times New Roman"/>
          <w:b/>
          <w:sz w:val="24"/>
          <w:szCs w:val="24"/>
        </w:rPr>
        <w:t xml:space="preserve">Section </w:t>
      </w:r>
      <w:r w:rsidR="0041608B" w:rsidRPr="00695693">
        <w:rPr>
          <w:rFonts w:ascii="Times New Roman" w:hAnsi="Times New Roman" w:cs="Times New Roman"/>
          <w:b/>
          <w:sz w:val="24"/>
          <w:szCs w:val="24"/>
        </w:rPr>
        <w:t>II</w:t>
      </w:r>
      <w:r w:rsidR="006D15D2" w:rsidRPr="00695693">
        <w:rPr>
          <w:rFonts w:ascii="Times New Roman" w:hAnsi="Times New Roman" w:cs="Times New Roman"/>
          <w:sz w:val="24"/>
          <w:szCs w:val="24"/>
        </w:rPr>
        <w:t>)</w:t>
      </w:r>
      <w:r w:rsidR="00CD7657" w:rsidRPr="00695693">
        <w:rPr>
          <w:rFonts w:ascii="Times New Roman" w:hAnsi="Times New Roman" w:cs="Times New Roman"/>
          <w:sz w:val="24"/>
          <w:szCs w:val="24"/>
        </w:rPr>
        <w:t xml:space="preserve"> supposela détermination préalable des conditions de déclenchement de l</w:t>
      </w:r>
      <w:r w:rsidR="0021036F" w:rsidRPr="00695693">
        <w:rPr>
          <w:rFonts w:ascii="Times New Roman" w:hAnsi="Times New Roman" w:cs="Times New Roman"/>
          <w:sz w:val="24"/>
          <w:szCs w:val="24"/>
        </w:rPr>
        <w:t xml:space="preserve">adite </w:t>
      </w:r>
      <w:r w:rsidR="00CD7657" w:rsidRPr="00695693">
        <w:rPr>
          <w:rFonts w:ascii="Times New Roman" w:hAnsi="Times New Roman" w:cs="Times New Roman"/>
          <w:sz w:val="24"/>
          <w:szCs w:val="24"/>
        </w:rPr>
        <w:t>instance</w:t>
      </w:r>
      <w:r w:rsidR="006D15D2" w:rsidRPr="00695693">
        <w:rPr>
          <w:rFonts w:ascii="Times New Roman" w:hAnsi="Times New Roman" w:cs="Times New Roman"/>
          <w:sz w:val="24"/>
          <w:szCs w:val="24"/>
        </w:rPr>
        <w:t>(</w:t>
      </w:r>
      <w:r w:rsidR="006D15D2" w:rsidRPr="00695693">
        <w:rPr>
          <w:rFonts w:ascii="Times New Roman" w:hAnsi="Times New Roman" w:cs="Times New Roman"/>
          <w:b/>
          <w:sz w:val="24"/>
          <w:szCs w:val="24"/>
        </w:rPr>
        <w:t>Section</w:t>
      </w:r>
      <w:r w:rsidR="007C576C" w:rsidRPr="00695693">
        <w:rPr>
          <w:rFonts w:ascii="Times New Roman" w:hAnsi="Times New Roman" w:cs="Times New Roman"/>
          <w:b/>
          <w:sz w:val="24"/>
          <w:szCs w:val="24"/>
        </w:rPr>
        <w:t xml:space="preserve"> I</w:t>
      </w:r>
      <w:r w:rsidR="006D15D2" w:rsidRPr="00695693">
        <w:rPr>
          <w:rFonts w:ascii="Times New Roman" w:hAnsi="Times New Roman" w:cs="Times New Roman"/>
          <w:sz w:val="24"/>
          <w:szCs w:val="24"/>
        </w:rPr>
        <w:t>).</w:t>
      </w:r>
    </w:p>
    <w:p w:rsidR="00694424" w:rsidRPr="00695693" w:rsidRDefault="00694424" w:rsidP="007A4443">
      <w:pPr>
        <w:pStyle w:val="Titre3"/>
      </w:pPr>
      <w:bookmarkStart w:id="41" w:name="_Toc515108227"/>
      <w:bookmarkStart w:id="42" w:name="_Toc518671708"/>
      <w:bookmarkStart w:id="43" w:name="_Toc518672794"/>
      <w:r w:rsidRPr="00695693">
        <w:t>SECTION</w:t>
      </w:r>
      <w:r w:rsidR="007C576C" w:rsidRPr="00695693">
        <w:t xml:space="preserve"> I</w:t>
      </w:r>
      <w:r w:rsidR="00951ED8" w:rsidRPr="00695693">
        <w:t> :</w:t>
      </w:r>
      <w:r w:rsidR="00436309">
        <w:t xml:space="preserve"> LES</w:t>
      </w:r>
      <w:r w:rsidRPr="00695693">
        <w:t xml:space="preserve"> CONDITIONS DE </w:t>
      </w:r>
      <w:r w:rsidR="00642053" w:rsidRPr="00695693">
        <w:t xml:space="preserve">DECLENCHEMENT </w:t>
      </w:r>
      <w:r w:rsidRPr="00695693">
        <w:t>DE L’INSTANCE PREJUDICIELLE</w:t>
      </w:r>
      <w:bookmarkEnd w:id="41"/>
      <w:bookmarkEnd w:id="42"/>
      <w:bookmarkEnd w:id="43"/>
    </w:p>
    <w:p w:rsidR="004D76B8" w:rsidRPr="00695693" w:rsidRDefault="00AE04D2"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Elles traduisent la validité du recours préjudiciel et sont relatives aussi bien à la juridiction</w:t>
      </w:r>
      <w:r w:rsidR="001C255F" w:rsidRPr="00695693">
        <w:rPr>
          <w:rFonts w:ascii="Times New Roman" w:hAnsi="Times New Roman" w:cs="Times New Roman"/>
          <w:sz w:val="24"/>
          <w:szCs w:val="24"/>
        </w:rPr>
        <w:t xml:space="preserve"> nationale </w:t>
      </w:r>
      <w:r w:rsidR="005A333D" w:rsidRPr="00ED4721">
        <w:rPr>
          <w:rFonts w:ascii="Times New Roman" w:hAnsi="Times New Roman" w:cs="Times New Roman"/>
          <w:b/>
          <w:sz w:val="24"/>
          <w:szCs w:val="24"/>
        </w:rPr>
        <w:t>(</w:t>
      </w:r>
      <w:r w:rsidR="007C576C" w:rsidRPr="00ED4721">
        <w:rPr>
          <w:rFonts w:ascii="Times New Roman" w:hAnsi="Times New Roman" w:cs="Times New Roman"/>
          <w:b/>
          <w:sz w:val="24"/>
          <w:szCs w:val="24"/>
        </w:rPr>
        <w:t>§ 1</w:t>
      </w:r>
      <w:r w:rsidR="001C255F" w:rsidRPr="00ED4721">
        <w:rPr>
          <w:rFonts w:ascii="Times New Roman" w:hAnsi="Times New Roman" w:cs="Times New Roman"/>
          <w:b/>
          <w:sz w:val="24"/>
          <w:szCs w:val="24"/>
        </w:rPr>
        <w:t>)</w:t>
      </w:r>
      <w:r w:rsidR="001C255F" w:rsidRPr="00695693">
        <w:rPr>
          <w:rFonts w:ascii="Times New Roman" w:hAnsi="Times New Roman" w:cs="Times New Roman"/>
          <w:sz w:val="24"/>
          <w:szCs w:val="24"/>
        </w:rPr>
        <w:t xml:space="preserve"> qu’à la juridiction </w:t>
      </w:r>
      <w:r w:rsidR="00694424" w:rsidRPr="00695693">
        <w:rPr>
          <w:rFonts w:ascii="Times New Roman" w:hAnsi="Times New Roman" w:cs="Times New Roman"/>
          <w:sz w:val="24"/>
          <w:szCs w:val="24"/>
        </w:rPr>
        <w:t>communautaire</w:t>
      </w:r>
      <w:r w:rsidR="00694424" w:rsidRPr="00ED4721">
        <w:rPr>
          <w:rFonts w:ascii="Times New Roman" w:hAnsi="Times New Roman" w:cs="Times New Roman"/>
          <w:b/>
          <w:sz w:val="24"/>
          <w:szCs w:val="24"/>
        </w:rPr>
        <w:t>(</w:t>
      </w:r>
      <w:r w:rsidR="007C576C" w:rsidRPr="00ED4721">
        <w:rPr>
          <w:rFonts w:ascii="Times New Roman" w:hAnsi="Times New Roman" w:cs="Times New Roman"/>
          <w:b/>
          <w:sz w:val="24"/>
          <w:szCs w:val="24"/>
        </w:rPr>
        <w:t>§ 2</w:t>
      </w:r>
      <w:r w:rsidR="00694424" w:rsidRPr="00ED4721">
        <w:rPr>
          <w:rFonts w:ascii="Times New Roman" w:hAnsi="Times New Roman" w:cs="Times New Roman"/>
          <w:b/>
          <w:sz w:val="24"/>
          <w:szCs w:val="24"/>
        </w:rPr>
        <w:t>)</w:t>
      </w:r>
      <w:r w:rsidR="00694424" w:rsidRPr="00695693">
        <w:rPr>
          <w:rFonts w:ascii="Times New Roman" w:hAnsi="Times New Roman" w:cs="Times New Roman"/>
          <w:sz w:val="24"/>
          <w:szCs w:val="24"/>
        </w:rPr>
        <w:t>.</w:t>
      </w:r>
    </w:p>
    <w:p w:rsidR="00694424" w:rsidRPr="00802E04" w:rsidRDefault="007C576C" w:rsidP="002F7CA3">
      <w:pPr>
        <w:pStyle w:val="Titre4"/>
      </w:pPr>
      <w:bookmarkStart w:id="44" w:name="_Toc518672795"/>
      <w:r w:rsidRPr="00802E04">
        <w:t>§ 1</w:t>
      </w:r>
      <w:r w:rsidR="00694424" w:rsidRPr="00802E04">
        <w:t xml:space="preserve"> : Les conditions </w:t>
      </w:r>
      <w:r w:rsidR="001B6BC9" w:rsidRPr="00802E04">
        <w:t>relatives à la juridiction nationale</w:t>
      </w:r>
      <w:bookmarkEnd w:id="44"/>
    </w:p>
    <w:p w:rsidR="00694424" w:rsidRPr="00695693" w:rsidRDefault="00B6045C" w:rsidP="00695693">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694424" w:rsidRPr="00695693">
        <w:rPr>
          <w:rFonts w:ascii="Times New Roman" w:hAnsi="Times New Roman" w:cs="Times New Roman"/>
          <w:sz w:val="24"/>
          <w:szCs w:val="24"/>
        </w:rPr>
        <w:t>our qu’une juridiction d’un Etat membre prenne l’initiative de poser à la Cour de justice une question préjudicielle, il faut que soient réunis, au cours d’un procès pendant devant elle</w:t>
      </w:r>
      <w:r w:rsidR="00B22E50" w:rsidRPr="00695693">
        <w:rPr>
          <w:rFonts w:ascii="Times New Roman" w:hAnsi="Times New Roman" w:cs="Times New Roman"/>
          <w:sz w:val="24"/>
          <w:szCs w:val="24"/>
        </w:rPr>
        <w:t xml:space="preserve">, </w:t>
      </w:r>
      <w:r w:rsidR="00694424" w:rsidRPr="00695693">
        <w:rPr>
          <w:rFonts w:ascii="Times New Roman" w:hAnsi="Times New Roman" w:cs="Times New Roman"/>
          <w:sz w:val="24"/>
          <w:szCs w:val="24"/>
        </w:rPr>
        <w:t xml:space="preserve">des conditions de fond </w:t>
      </w:r>
      <w:r w:rsidR="00694424" w:rsidRPr="00ED4721">
        <w:rPr>
          <w:rFonts w:ascii="Times New Roman" w:hAnsi="Times New Roman" w:cs="Times New Roman"/>
          <w:b/>
          <w:sz w:val="24"/>
          <w:szCs w:val="24"/>
        </w:rPr>
        <w:t>(A)</w:t>
      </w:r>
      <w:r w:rsidR="00694424" w:rsidRPr="00695693">
        <w:rPr>
          <w:rFonts w:ascii="Times New Roman" w:hAnsi="Times New Roman" w:cs="Times New Roman"/>
          <w:sz w:val="24"/>
          <w:szCs w:val="24"/>
        </w:rPr>
        <w:t xml:space="preserve"> et des conditions de forme </w:t>
      </w:r>
      <w:r w:rsidR="00694424" w:rsidRPr="00ED4721">
        <w:rPr>
          <w:rFonts w:ascii="Times New Roman" w:hAnsi="Times New Roman" w:cs="Times New Roman"/>
          <w:b/>
          <w:sz w:val="24"/>
          <w:szCs w:val="24"/>
        </w:rPr>
        <w:t>(B)</w:t>
      </w:r>
      <w:r w:rsidR="00694424" w:rsidRPr="00695693">
        <w:rPr>
          <w:rFonts w:ascii="Times New Roman" w:hAnsi="Times New Roman" w:cs="Times New Roman"/>
          <w:sz w:val="24"/>
          <w:szCs w:val="24"/>
        </w:rPr>
        <w:t>.</w:t>
      </w:r>
    </w:p>
    <w:p w:rsidR="00694424" w:rsidRPr="00802E04" w:rsidRDefault="003F74DD" w:rsidP="0037430F">
      <w:pPr>
        <w:pStyle w:val="Titre5"/>
      </w:pPr>
      <w:bookmarkStart w:id="45" w:name="_Toc518672796"/>
      <w:r w:rsidRPr="00802E04">
        <w:t xml:space="preserve">A. </w:t>
      </w:r>
      <w:r w:rsidR="00694424" w:rsidRPr="00802E04">
        <w:t>Les conditions de fond en matière préjudicielle</w:t>
      </w:r>
      <w:bookmarkEnd w:id="45"/>
    </w:p>
    <w:p w:rsidR="004D76B8" w:rsidRPr="00695693" w:rsidRDefault="00DF22B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L’exercice d</w:t>
      </w:r>
      <w:r w:rsidR="002D7E63">
        <w:rPr>
          <w:rFonts w:ascii="Times New Roman" w:hAnsi="Times New Roman" w:cs="Times New Roman"/>
          <w:sz w:val="24"/>
          <w:szCs w:val="24"/>
        </w:rPr>
        <w:t>u</w:t>
      </w:r>
      <w:r w:rsidR="00694424" w:rsidRPr="00695693">
        <w:rPr>
          <w:rFonts w:ascii="Times New Roman" w:hAnsi="Times New Roman" w:cs="Times New Roman"/>
          <w:sz w:val="24"/>
          <w:szCs w:val="24"/>
        </w:rPr>
        <w:t xml:space="preserve"> renvoi préjudiciel par le juge national su</w:t>
      </w:r>
      <w:r w:rsidR="003F74DD" w:rsidRPr="00695693">
        <w:rPr>
          <w:rFonts w:ascii="Times New Roman" w:hAnsi="Times New Roman" w:cs="Times New Roman"/>
          <w:sz w:val="24"/>
          <w:szCs w:val="24"/>
        </w:rPr>
        <w:t xml:space="preserve">ppose l’existence des certaines </w:t>
      </w:r>
      <w:r w:rsidR="00694424" w:rsidRPr="00695693">
        <w:rPr>
          <w:rFonts w:ascii="Times New Roman" w:hAnsi="Times New Roman" w:cs="Times New Roman"/>
          <w:sz w:val="24"/>
          <w:szCs w:val="24"/>
        </w:rPr>
        <w:t xml:space="preserve">conditions de fond ; </w:t>
      </w:r>
      <w:r w:rsidR="00B22E50" w:rsidRPr="00695693">
        <w:rPr>
          <w:rFonts w:ascii="Times New Roman" w:hAnsi="Times New Roman" w:cs="Times New Roman"/>
          <w:sz w:val="24"/>
          <w:szCs w:val="24"/>
        </w:rPr>
        <w:t xml:space="preserve">à défaut desquelles </w:t>
      </w:r>
      <w:r w:rsidR="00694424" w:rsidRPr="00695693">
        <w:rPr>
          <w:rFonts w:ascii="Times New Roman" w:hAnsi="Times New Roman" w:cs="Times New Roman"/>
          <w:sz w:val="24"/>
          <w:szCs w:val="24"/>
        </w:rPr>
        <w:t>le juge national ne pourrait tirer les conséquences pratiques au plan de la mise en œ</w:t>
      </w:r>
      <w:r w:rsidR="003F74DD" w:rsidRPr="00695693">
        <w:rPr>
          <w:rFonts w:ascii="Times New Roman" w:hAnsi="Times New Roman" w:cs="Times New Roman"/>
          <w:sz w:val="24"/>
          <w:szCs w:val="24"/>
        </w:rPr>
        <w:t xml:space="preserve">uvre dudit renvoi. </w:t>
      </w:r>
      <w:r w:rsidR="00694424" w:rsidRPr="00695693">
        <w:rPr>
          <w:rFonts w:ascii="Times New Roman" w:hAnsi="Times New Roman" w:cs="Times New Roman"/>
          <w:sz w:val="24"/>
          <w:szCs w:val="24"/>
        </w:rPr>
        <w:t xml:space="preserve">Ainsi, en l’absence d’une consécration expresse de ces conditions par le législateur  CEDEAO, il sied de se référer </w:t>
      </w:r>
      <w:r w:rsidR="003F0DBD">
        <w:rPr>
          <w:rFonts w:ascii="Times New Roman" w:hAnsi="Times New Roman" w:cs="Times New Roman"/>
          <w:sz w:val="24"/>
          <w:szCs w:val="24"/>
        </w:rPr>
        <w:t xml:space="preserve">en droit UEMOA et européen </w:t>
      </w:r>
      <w:r w:rsidR="009A4A9C" w:rsidRPr="00695693">
        <w:rPr>
          <w:rFonts w:ascii="Times New Roman" w:hAnsi="Times New Roman" w:cs="Times New Roman"/>
          <w:sz w:val="24"/>
          <w:szCs w:val="24"/>
        </w:rPr>
        <w:t xml:space="preserve">qui en ont dégagé deux catégories : </w:t>
      </w:r>
      <w:r w:rsidR="00694424" w:rsidRPr="00695693">
        <w:rPr>
          <w:rFonts w:ascii="Times New Roman" w:hAnsi="Times New Roman" w:cs="Times New Roman"/>
          <w:sz w:val="24"/>
          <w:szCs w:val="24"/>
        </w:rPr>
        <w:t xml:space="preserve">les unes tiennent à la juridiction même du renvoi, et les autres </w:t>
      </w:r>
      <w:r w:rsidR="004C24AE">
        <w:rPr>
          <w:rFonts w:ascii="Times New Roman" w:hAnsi="Times New Roman" w:cs="Times New Roman"/>
          <w:sz w:val="24"/>
          <w:szCs w:val="24"/>
        </w:rPr>
        <w:t xml:space="preserve">à </w:t>
      </w:r>
      <w:r w:rsidR="00694424" w:rsidRPr="00695693">
        <w:rPr>
          <w:rFonts w:ascii="Times New Roman" w:hAnsi="Times New Roman" w:cs="Times New Roman"/>
          <w:sz w:val="24"/>
          <w:szCs w:val="24"/>
        </w:rPr>
        <w:t>la question à poser.</w:t>
      </w:r>
    </w:p>
    <w:p w:rsidR="0086474B"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S’agissant des condit</w:t>
      </w:r>
      <w:r w:rsidR="009A4A9C" w:rsidRPr="00695693">
        <w:rPr>
          <w:rFonts w:ascii="Times New Roman" w:hAnsi="Times New Roman" w:cs="Times New Roman"/>
          <w:sz w:val="24"/>
          <w:szCs w:val="24"/>
        </w:rPr>
        <w:t xml:space="preserve">ions relatives à la juridiction </w:t>
      </w:r>
      <w:r w:rsidR="00BC3841" w:rsidRPr="00695693">
        <w:rPr>
          <w:rFonts w:ascii="Times New Roman" w:hAnsi="Times New Roman" w:cs="Times New Roman"/>
          <w:sz w:val="24"/>
          <w:szCs w:val="24"/>
        </w:rPr>
        <w:t>de</w:t>
      </w:r>
      <w:r w:rsidRPr="00695693">
        <w:rPr>
          <w:rFonts w:ascii="Times New Roman" w:hAnsi="Times New Roman" w:cs="Times New Roman"/>
          <w:sz w:val="24"/>
          <w:szCs w:val="24"/>
        </w:rPr>
        <w:t xml:space="preserve"> renvoi, le juge national doit observer certaines conditions pour qu’il puisse exercer le recours préjudiciel à la Co</w:t>
      </w:r>
      <w:r w:rsidR="00BC0721" w:rsidRPr="00695693">
        <w:rPr>
          <w:rFonts w:ascii="Times New Roman" w:hAnsi="Times New Roman" w:cs="Times New Roman"/>
          <w:sz w:val="24"/>
          <w:szCs w:val="24"/>
        </w:rPr>
        <w:t xml:space="preserve">ur de justice de la Communauté. </w:t>
      </w:r>
      <w:r w:rsidRPr="00695693">
        <w:rPr>
          <w:rFonts w:ascii="Times New Roman" w:hAnsi="Times New Roman" w:cs="Times New Roman"/>
          <w:sz w:val="24"/>
          <w:szCs w:val="24"/>
        </w:rPr>
        <w:t xml:space="preserve">D’abord, il faudra l’existence d’un litige principal soumis à lui. </w:t>
      </w:r>
      <w:r w:rsidR="002B4B79">
        <w:rPr>
          <w:rFonts w:ascii="Times New Roman" w:hAnsi="Times New Roman" w:cs="Times New Roman"/>
          <w:sz w:val="24"/>
          <w:szCs w:val="24"/>
        </w:rPr>
        <w:t xml:space="preserve">Autrement dit, </w:t>
      </w:r>
      <w:r w:rsidRPr="00695693">
        <w:rPr>
          <w:rFonts w:ascii="Times New Roman" w:hAnsi="Times New Roman" w:cs="Times New Roman"/>
          <w:sz w:val="24"/>
          <w:szCs w:val="24"/>
        </w:rPr>
        <w:t xml:space="preserve">la question doit être soulevée au cours d’un litige pendant devant le juge national qui opère le </w:t>
      </w:r>
      <w:r w:rsidRPr="00695693">
        <w:rPr>
          <w:rFonts w:ascii="Times New Roman" w:hAnsi="Times New Roman" w:cs="Times New Roman"/>
          <w:sz w:val="24"/>
          <w:szCs w:val="24"/>
        </w:rPr>
        <w:lastRenderedPageBreak/>
        <w:t>renvoi. Par conséquent, est exclu le renvoi sur un litige pendant devant une autre juridiction ou bien lorsque le litige n’est plus pendant devant le juge de renvoi</w:t>
      </w:r>
      <w:r w:rsidR="008378F9">
        <w:rPr>
          <w:rStyle w:val="Appelnotedebasdep"/>
          <w:rFonts w:ascii="Times New Roman" w:hAnsi="Times New Roman" w:cs="Times New Roman"/>
          <w:sz w:val="24"/>
          <w:szCs w:val="24"/>
        </w:rPr>
        <w:footnoteReference w:id="142"/>
      </w:r>
      <w:r w:rsidRPr="00695693">
        <w:rPr>
          <w:rFonts w:ascii="Times New Roman" w:hAnsi="Times New Roman" w:cs="Times New Roman"/>
          <w:sz w:val="24"/>
          <w:szCs w:val="24"/>
        </w:rPr>
        <w:t>.Ensu</w:t>
      </w:r>
      <w:r w:rsidR="00DF22B4" w:rsidRPr="00695693">
        <w:rPr>
          <w:rFonts w:ascii="Times New Roman" w:hAnsi="Times New Roman" w:cs="Times New Roman"/>
          <w:sz w:val="24"/>
          <w:szCs w:val="24"/>
        </w:rPr>
        <w:t>ite, le juge national, auteur de</w:t>
      </w:r>
      <w:r w:rsidRPr="00695693">
        <w:rPr>
          <w:rFonts w:ascii="Times New Roman" w:hAnsi="Times New Roman" w:cs="Times New Roman"/>
          <w:sz w:val="24"/>
          <w:szCs w:val="24"/>
        </w:rPr>
        <w:t xml:space="preserve"> renvoi, doit avoir une difficulté ou un doute sur l’interprétation ou la validité d’une disposition du droit de la Communauté CEDEAO. Le doute du juge de renvoi peut se nourrir soit d’office, soit à la demande d’une des parties au différend. C’est ce qu’exprime</w:t>
      </w:r>
      <w:r w:rsidR="008777DA" w:rsidRPr="00695693">
        <w:rPr>
          <w:rFonts w:ascii="Times New Roman" w:hAnsi="Times New Roman" w:cs="Times New Roman"/>
          <w:sz w:val="24"/>
          <w:szCs w:val="24"/>
        </w:rPr>
        <w:t xml:space="preserve"> fort pertinemment</w:t>
      </w:r>
      <w:r w:rsidRPr="00695693">
        <w:rPr>
          <w:rFonts w:ascii="Times New Roman" w:hAnsi="Times New Roman" w:cs="Times New Roman"/>
          <w:sz w:val="24"/>
          <w:szCs w:val="24"/>
        </w:rPr>
        <w:t xml:space="preserve"> l’ancien vice-président du Conseil d’Etat</w:t>
      </w:r>
      <w:r w:rsidR="002B4B79">
        <w:rPr>
          <w:rFonts w:ascii="Times New Roman" w:hAnsi="Times New Roman" w:cs="Times New Roman"/>
          <w:sz w:val="24"/>
          <w:szCs w:val="24"/>
        </w:rPr>
        <w:t xml:space="preserve">, le Professeur </w:t>
      </w:r>
      <w:r w:rsidR="00675A27" w:rsidRPr="00695693">
        <w:rPr>
          <w:rFonts w:ascii="Times New Roman" w:hAnsi="Times New Roman" w:cs="Times New Roman"/>
          <w:sz w:val="24"/>
          <w:szCs w:val="24"/>
        </w:rPr>
        <w:t>Edouard LAFERRIERE</w:t>
      </w:r>
      <w:r w:rsidRPr="00695693">
        <w:rPr>
          <w:rFonts w:ascii="Times New Roman" w:hAnsi="Times New Roman" w:cs="Times New Roman"/>
          <w:sz w:val="24"/>
          <w:szCs w:val="24"/>
        </w:rPr>
        <w:t>, en ces termes : « </w:t>
      </w:r>
      <w:r w:rsidRPr="00695693">
        <w:rPr>
          <w:rFonts w:ascii="Times New Roman" w:hAnsi="Times New Roman" w:cs="Times New Roman"/>
          <w:i/>
          <w:sz w:val="24"/>
          <w:szCs w:val="24"/>
        </w:rPr>
        <w:t>pour qu’il y ait une question préjudicielle, il faut d’abord qu’il y ait une question, c’est-à-dire une difficulté réelle, soulevée par les parties, ou spontanément reconnue par le juge, et de nature à faire naitre un doute dans un esprit éclairé</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143"/>
      </w:r>
      <w:r w:rsidRPr="00695693">
        <w:rPr>
          <w:rFonts w:ascii="Times New Roman" w:hAnsi="Times New Roman" w:cs="Times New Roman"/>
          <w:sz w:val="24"/>
          <w:szCs w:val="24"/>
        </w:rPr>
        <w:t xml:space="preserve">. </w:t>
      </w:r>
      <w:r w:rsidR="00BC0721" w:rsidRPr="00695693">
        <w:rPr>
          <w:rFonts w:ascii="Times New Roman" w:hAnsi="Times New Roman" w:cs="Times New Roman"/>
          <w:sz w:val="24"/>
          <w:szCs w:val="24"/>
        </w:rPr>
        <w:t>L’</w:t>
      </w:r>
      <w:r w:rsidR="00926E6C" w:rsidRPr="00695693">
        <w:rPr>
          <w:rFonts w:ascii="Times New Roman" w:hAnsi="Times New Roman" w:cs="Times New Roman"/>
          <w:sz w:val="24"/>
          <w:szCs w:val="24"/>
        </w:rPr>
        <w:t xml:space="preserve">exigence de ce critère </w:t>
      </w:r>
      <w:r w:rsidR="00D24ABB">
        <w:rPr>
          <w:rFonts w:ascii="Times New Roman" w:hAnsi="Times New Roman" w:cs="Times New Roman"/>
          <w:sz w:val="24"/>
          <w:szCs w:val="24"/>
        </w:rPr>
        <w:t xml:space="preserve">pourrait </w:t>
      </w:r>
      <w:r w:rsidR="00926E6C" w:rsidRPr="00695693">
        <w:rPr>
          <w:rFonts w:ascii="Times New Roman" w:hAnsi="Times New Roman" w:cs="Times New Roman"/>
          <w:sz w:val="24"/>
          <w:szCs w:val="24"/>
        </w:rPr>
        <w:t xml:space="preserve">se </w:t>
      </w:r>
      <w:r w:rsidR="00D24ABB">
        <w:rPr>
          <w:rFonts w:ascii="Times New Roman" w:hAnsi="Times New Roman" w:cs="Times New Roman"/>
          <w:sz w:val="24"/>
          <w:szCs w:val="24"/>
        </w:rPr>
        <w:t xml:space="preserve">justifier par le fait que </w:t>
      </w:r>
      <w:r w:rsidR="00926E6C" w:rsidRPr="00695693">
        <w:rPr>
          <w:rFonts w:ascii="Times New Roman" w:hAnsi="Times New Roman" w:cs="Times New Roman"/>
          <w:sz w:val="24"/>
          <w:szCs w:val="24"/>
        </w:rPr>
        <w:t>« </w:t>
      </w:r>
      <w:r w:rsidRPr="00695693">
        <w:rPr>
          <w:rFonts w:ascii="Times New Roman" w:hAnsi="Times New Roman" w:cs="Times New Roman"/>
          <w:i/>
          <w:sz w:val="24"/>
          <w:szCs w:val="24"/>
        </w:rPr>
        <w:t>l’objet du renvoi préjudiciel n’est pas de fournir des avis consultatifs au juge national mais plutôt de lui apporter une réponse authentique à une question d’interprétation ou d’appréciation de validité d’un acte communautaire soulevé devant lui</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144"/>
      </w:r>
      <w:r w:rsidRPr="00695693">
        <w:rPr>
          <w:rFonts w:ascii="Times New Roman" w:hAnsi="Times New Roman" w:cs="Times New Roman"/>
          <w:sz w:val="24"/>
          <w:szCs w:val="24"/>
        </w:rPr>
        <w:t xml:space="preserve">.Enfin, le juge national </w:t>
      </w:r>
      <w:r w:rsidR="00D24ABB">
        <w:rPr>
          <w:rFonts w:ascii="Times New Roman" w:hAnsi="Times New Roman" w:cs="Times New Roman"/>
          <w:sz w:val="24"/>
          <w:szCs w:val="24"/>
        </w:rPr>
        <w:t xml:space="preserve">qui opère le renvoi </w:t>
      </w:r>
      <w:r w:rsidRPr="00695693">
        <w:rPr>
          <w:rFonts w:ascii="Times New Roman" w:hAnsi="Times New Roman" w:cs="Times New Roman"/>
          <w:sz w:val="24"/>
          <w:szCs w:val="24"/>
        </w:rPr>
        <w:t>doit avoir besoin de la réponse de la Cour afin de rendre son jugement. C’est dans cette optique qu’un auteur a pu dire ceci : « </w:t>
      </w:r>
      <w:r w:rsidRPr="00695693">
        <w:rPr>
          <w:rFonts w:ascii="Times New Roman" w:hAnsi="Times New Roman" w:cs="Times New Roman"/>
          <w:i/>
          <w:sz w:val="24"/>
          <w:szCs w:val="24"/>
        </w:rPr>
        <w:t>la question est dite préjudicielle, en ce sens que son règlement au niveau du juge communautaire, conditionne la suite du procès au niveau national</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145"/>
      </w:r>
      <w:r w:rsidR="0086474B" w:rsidRPr="00695693">
        <w:rPr>
          <w:rFonts w:ascii="Times New Roman" w:hAnsi="Times New Roman" w:cs="Times New Roman"/>
          <w:sz w:val="24"/>
          <w:szCs w:val="24"/>
        </w:rPr>
        <w:t>.</w:t>
      </w:r>
    </w:p>
    <w:p w:rsidR="000A0B50"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S’agissant des conditions relatives </w:t>
      </w:r>
      <w:r w:rsidR="004C24AE">
        <w:rPr>
          <w:rFonts w:ascii="Times New Roman" w:hAnsi="Times New Roman" w:cs="Times New Roman"/>
          <w:sz w:val="24"/>
          <w:szCs w:val="24"/>
        </w:rPr>
        <w:t xml:space="preserve">à </w:t>
      </w:r>
      <w:r w:rsidRPr="00695693">
        <w:rPr>
          <w:rFonts w:ascii="Times New Roman" w:hAnsi="Times New Roman" w:cs="Times New Roman"/>
          <w:sz w:val="24"/>
          <w:szCs w:val="24"/>
        </w:rPr>
        <w:t xml:space="preserve">la question à poser, notons que la question doit essentiellement </w:t>
      </w:r>
      <w:r w:rsidR="006D63B1">
        <w:rPr>
          <w:rFonts w:ascii="Times New Roman" w:hAnsi="Times New Roman" w:cs="Times New Roman"/>
          <w:sz w:val="24"/>
          <w:szCs w:val="24"/>
        </w:rPr>
        <w:t xml:space="preserve">porter sur </w:t>
      </w:r>
      <w:r w:rsidRPr="00695693">
        <w:rPr>
          <w:rFonts w:ascii="Times New Roman" w:hAnsi="Times New Roman" w:cs="Times New Roman"/>
          <w:sz w:val="24"/>
          <w:szCs w:val="24"/>
        </w:rPr>
        <w:t>l’interprétation ou la validité d’une disposition du droit de la Communauté et non pas son application. Elle doit être simple, directe et non pas vague et très générale</w:t>
      </w:r>
      <w:r w:rsidR="004C24AE">
        <w:rPr>
          <w:rStyle w:val="Appelnotedebasdep"/>
          <w:rFonts w:ascii="Times New Roman" w:hAnsi="Times New Roman" w:cs="Times New Roman"/>
          <w:sz w:val="24"/>
          <w:szCs w:val="24"/>
        </w:rPr>
        <w:footnoteReference w:id="146"/>
      </w:r>
      <w:r w:rsidRPr="00695693">
        <w:rPr>
          <w:rFonts w:ascii="Times New Roman" w:hAnsi="Times New Roman" w:cs="Times New Roman"/>
          <w:sz w:val="24"/>
          <w:szCs w:val="24"/>
        </w:rPr>
        <w:t xml:space="preserve">. </w:t>
      </w:r>
      <w:r w:rsidR="00121CAD">
        <w:rPr>
          <w:rFonts w:ascii="Times New Roman" w:hAnsi="Times New Roman" w:cs="Times New Roman"/>
          <w:sz w:val="24"/>
          <w:szCs w:val="24"/>
        </w:rPr>
        <w:t xml:space="preserve">Autrement dit, </w:t>
      </w:r>
      <w:r w:rsidR="009B68B8">
        <w:rPr>
          <w:rFonts w:ascii="Times New Roman" w:hAnsi="Times New Roman" w:cs="Times New Roman"/>
          <w:sz w:val="24"/>
          <w:szCs w:val="24"/>
        </w:rPr>
        <w:t>l</w:t>
      </w:r>
      <w:r w:rsidR="009B68B8" w:rsidRPr="009B68B8">
        <w:rPr>
          <w:rFonts w:ascii="Times New Roman" w:hAnsi="Times New Roman" w:cs="Times New Roman"/>
          <w:sz w:val="24"/>
          <w:szCs w:val="24"/>
        </w:rPr>
        <w:t>e juge national qui opère le renvoi doit éclairer la Cour pour lui permettre de statuer en toute connaissance de cause en lui envoyant un exemplaire du dossier authentifié et en spécifiant les circonstances de l’affaire, son cadre juridique et la pertinence des questions posées et leur caractère déterminant dans la solution du litige</w:t>
      </w:r>
      <w:r w:rsidR="00156DB9">
        <w:rPr>
          <w:rStyle w:val="Appelnotedebasdep"/>
          <w:rFonts w:ascii="Times New Roman" w:hAnsi="Times New Roman" w:cs="Times New Roman"/>
          <w:sz w:val="24"/>
          <w:szCs w:val="24"/>
        </w:rPr>
        <w:footnoteReference w:id="147"/>
      </w:r>
      <w:r w:rsidRPr="002F10D7">
        <w:rPr>
          <w:rFonts w:ascii="Times New Roman" w:hAnsi="Times New Roman" w:cs="Times New Roman"/>
          <w:sz w:val="24"/>
          <w:szCs w:val="24"/>
        </w:rPr>
        <w:t>.</w:t>
      </w:r>
      <w:r w:rsidR="00844015">
        <w:rPr>
          <w:rFonts w:ascii="Times New Roman" w:hAnsi="Times New Roman" w:cs="Times New Roman"/>
          <w:sz w:val="24"/>
          <w:szCs w:val="24"/>
        </w:rPr>
        <w:t xml:space="preserve"> Pour la Cour, cette exigence ne sert pas seulement à fournir des réponses utiles à la juridiction de renvoi, elle doit aussi permettre aux Etats membres ainsi qu’aux autres parties intéressées de faire </w:t>
      </w:r>
      <w:r w:rsidR="00844015">
        <w:rPr>
          <w:rFonts w:ascii="Times New Roman" w:hAnsi="Times New Roman" w:cs="Times New Roman"/>
          <w:sz w:val="24"/>
          <w:szCs w:val="24"/>
        </w:rPr>
        <w:lastRenderedPageBreak/>
        <w:t>pleinement usage de leur droit de présenter des observations pendant le déroulement de la procédure préjudicielle</w:t>
      </w:r>
      <w:r w:rsidR="00844015">
        <w:rPr>
          <w:rStyle w:val="Appelnotedebasdep"/>
          <w:rFonts w:ascii="Times New Roman" w:hAnsi="Times New Roman" w:cs="Times New Roman"/>
          <w:sz w:val="24"/>
          <w:szCs w:val="24"/>
        </w:rPr>
        <w:footnoteReference w:id="148"/>
      </w:r>
      <w:r w:rsidR="0078398B">
        <w:rPr>
          <w:rFonts w:ascii="Times New Roman" w:hAnsi="Times New Roman" w:cs="Times New Roman"/>
          <w:sz w:val="24"/>
          <w:szCs w:val="24"/>
        </w:rPr>
        <w:t>.</w:t>
      </w:r>
    </w:p>
    <w:p w:rsidR="007A1BE8" w:rsidRPr="00153727" w:rsidRDefault="00153727" w:rsidP="006956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Toutefois, </w:t>
      </w:r>
      <w:r w:rsidR="00694424" w:rsidRPr="00153727">
        <w:rPr>
          <w:rFonts w:ascii="Times New Roman" w:hAnsi="Times New Roman" w:cs="Times New Roman"/>
          <w:sz w:val="24"/>
          <w:szCs w:val="24"/>
        </w:rPr>
        <w:t xml:space="preserve">cette </w:t>
      </w:r>
      <w:r w:rsidR="00F82947">
        <w:rPr>
          <w:rFonts w:ascii="Times New Roman" w:hAnsi="Times New Roman" w:cs="Times New Roman"/>
          <w:sz w:val="24"/>
          <w:szCs w:val="24"/>
        </w:rPr>
        <w:t xml:space="preserve">condition de fond n’est pas la seule exigence d’exercice du mécanisme de renvoi préjudiciel par la juridiction nationale. En effet, l’exercice de cette voie de droit exige aussi pour </w:t>
      </w:r>
      <w:r w:rsidR="00D725AD">
        <w:rPr>
          <w:rFonts w:ascii="Times New Roman" w:hAnsi="Times New Roman" w:cs="Times New Roman"/>
          <w:sz w:val="24"/>
          <w:szCs w:val="24"/>
        </w:rPr>
        <w:t xml:space="preserve">le juge </w:t>
      </w:r>
      <w:r w:rsidR="00F82947">
        <w:rPr>
          <w:rFonts w:ascii="Times New Roman" w:hAnsi="Times New Roman" w:cs="Times New Roman"/>
          <w:sz w:val="24"/>
          <w:szCs w:val="24"/>
        </w:rPr>
        <w:t xml:space="preserve">de renvoi d’observer </w:t>
      </w:r>
      <w:r w:rsidR="00694424" w:rsidRPr="00153727">
        <w:rPr>
          <w:rFonts w:ascii="Times New Roman" w:hAnsi="Times New Roman" w:cs="Times New Roman"/>
          <w:sz w:val="24"/>
          <w:szCs w:val="24"/>
        </w:rPr>
        <w:t xml:space="preserve">certaines </w:t>
      </w:r>
      <w:r w:rsidR="00F64329" w:rsidRPr="00153727">
        <w:rPr>
          <w:rFonts w:ascii="Times New Roman" w:hAnsi="Times New Roman" w:cs="Times New Roman"/>
          <w:sz w:val="24"/>
          <w:szCs w:val="24"/>
        </w:rPr>
        <w:t>conditions de forme</w:t>
      </w:r>
      <w:r w:rsidR="00694424" w:rsidRPr="00153727">
        <w:rPr>
          <w:rFonts w:ascii="Times New Roman" w:hAnsi="Times New Roman" w:cs="Times New Roman"/>
          <w:sz w:val="24"/>
          <w:szCs w:val="24"/>
        </w:rPr>
        <w:t xml:space="preserve">. </w:t>
      </w:r>
    </w:p>
    <w:p w:rsidR="0086474B" w:rsidRPr="00802E04" w:rsidRDefault="00B55E9B" w:rsidP="0037430F">
      <w:pPr>
        <w:pStyle w:val="Titre5"/>
      </w:pPr>
      <w:bookmarkStart w:id="46" w:name="_Toc518672797"/>
      <w:r w:rsidRPr="00802E04">
        <w:t>B</w:t>
      </w:r>
      <w:r w:rsidR="007A1BE8" w:rsidRPr="00802E04">
        <w:t xml:space="preserve">. </w:t>
      </w:r>
      <w:r w:rsidR="00694424" w:rsidRPr="00802E04">
        <w:t>Les conditions de forme</w:t>
      </w:r>
      <w:r w:rsidR="0086474B" w:rsidRPr="00802E04">
        <w:t xml:space="preserve"> en matière préjudicielle</w:t>
      </w:r>
      <w:bookmarkEnd w:id="46"/>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On entend par conditions de forme, les moyens procéduraux par lesquels la juridiction nationale </w:t>
      </w:r>
      <w:r w:rsidR="00435356" w:rsidRPr="00695693">
        <w:rPr>
          <w:rFonts w:ascii="Times New Roman" w:hAnsi="Times New Roman" w:cs="Times New Roman"/>
          <w:sz w:val="24"/>
          <w:szCs w:val="24"/>
        </w:rPr>
        <w:t xml:space="preserve">interroge </w:t>
      </w:r>
      <w:r w:rsidRPr="00695693">
        <w:rPr>
          <w:rFonts w:ascii="Times New Roman" w:hAnsi="Times New Roman" w:cs="Times New Roman"/>
          <w:sz w:val="24"/>
          <w:szCs w:val="24"/>
        </w:rPr>
        <w:t xml:space="preserve">la Cour de justice communautaire en </w:t>
      </w:r>
      <w:r w:rsidR="00435356" w:rsidRPr="00695693">
        <w:rPr>
          <w:rFonts w:ascii="Times New Roman" w:hAnsi="Times New Roman" w:cs="Times New Roman"/>
          <w:sz w:val="24"/>
          <w:szCs w:val="24"/>
        </w:rPr>
        <w:t xml:space="preserve">cas </w:t>
      </w:r>
      <w:r w:rsidRPr="00695693">
        <w:rPr>
          <w:rFonts w:ascii="Times New Roman" w:hAnsi="Times New Roman" w:cs="Times New Roman"/>
          <w:sz w:val="24"/>
          <w:szCs w:val="24"/>
        </w:rPr>
        <w:t xml:space="preserve">du recours préjudiciel. </w:t>
      </w:r>
      <w:r w:rsidR="00527FF2">
        <w:rPr>
          <w:rFonts w:ascii="Times New Roman" w:hAnsi="Times New Roman" w:cs="Times New Roman"/>
          <w:sz w:val="24"/>
          <w:szCs w:val="24"/>
        </w:rPr>
        <w:t>Sur ce point, l</w:t>
      </w:r>
      <w:r w:rsidR="001563A3" w:rsidRPr="00695693">
        <w:rPr>
          <w:rFonts w:ascii="Times New Roman" w:hAnsi="Times New Roman" w:cs="Times New Roman"/>
          <w:sz w:val="24"/>
          <w:szCs w:val="24"/>
        </w:rPr>
        <w:t>e législateur CEDEAO, à l’image d</w:t>
      </w:r>
      <w:r w:rsidR="00153727">
        <w:rPr>
          <w:rFonts w:ascii="Times New Roman" w:hAnsi="Times New Roman" w:cs="Times New Roman"/>
          <w:sz w:val="24"/>
          <w:szCs w:val="24"/>
        </w:rPr>
        <w:t xml:space="preserve">e </w:t>
      </w:r>
      <w:r w:rsidR="00843E42">
        <w:rPr>
          <w:rFonts w:ascii="Times New Roman" w:hAnsi="Times New Roman" w:cs="Times New Roman"/>
          <w:sz w:val="24"/>
          <w:szCs w:val="24"/>
        </w:rPr>
        <w:t xml:space="preserve">ses homologues </w:t>
      </w:r>
      <w:r w:rsidR="00153727">
        <w:rPr>
          <w:rFonts w:ascii="Times New Roman" w:hAnsi="Times New Roman" w:cs="Times New Roman"/>
          <w:sz w:val="24"/>
          <w:szCs w:val="24"/>
        </w:rPr>
        <w:t>UEMOA et européen</w:t>
      </w:r>
      <w:r w:rsidRPr="00695693">
        <w:rPr>
          <w:rFonts w:ascii="Times New Roman" w:hAnsi="Times New Roman" w:cs="Times New Roman"/>
          <w:sz w:val="24"/>
          <w:szCs w:val="24"/>
        </w:rPr>
        <w:t xml:space="preserve">, est muet </w:t>
      </w:r>
      <w:r w:rsidR="001563A3" w:rsidRPr="00695693">
        <w:rPr>
          <w:rFonts w:ascii="Times New Roman" w:hAnsi="Times New Roman" w:cs="Times New Roman"/>
          <w:sz w:val="24"/>
          <w:szCs w:val="24"/>
        </w:rPr>
        <w:t>quant aux</w:t>
      </w:r>
      <w:r w:rsidRPr="00695693">
        <w:rPr>
          <w:rFonts w:ascii="Times New Roman" w:hAnsi="Times New Roman" w:cs="Times New Roman"/>
          <w:sz w:val="24"/>
          <w:szCs w:val="24"/>
        </w:rPr>
        <w:t xml:space="preserve"> conditions de forme dans le cadre du renvoi préjudiciel. </w:t>
      </w:r>
      <w:r w:rsidR="00DF08F7" w:rsidRPr="00527FF2">
        <w:rPr>
          <w:rFonts w:ascii="Times New Roman" w:hAnsi="Times New Roman" w:cs="Times New Roman"/>
          <w:sz w:val="24"/>
          <w:szCs w:val="24"/>
        </w:rPr>
        <w:t>D’après les dispositions de l’article 26 du règlement n°01/2012/CJ abrogeant et remplaçant le règlement n°01/2010/CJ relatif au règlement administratif de la CJ/UEMOA, il est simplement indiqué que le juge national doit envoyer au juge communautaire un exemplaire du dossier authentifié</w:t>
      </w:r>
      <w:r w:rsidR="00DF08F7">
        <w:rPr>
          <w:rFonts w:ascii="Times New Roman" w:hAnsi="Times New Roman" w:cs="Times New Roman"/>
          <w:sz w:val="24"/>
          <w:szCs w:val="24"/>
        </w:rPr>
        <w:t xml:space="preserve">. </w:t>
      </w:r>
      <w:r w:rsidRPr="00695693">
        <w:rPr>
          <w:rFonts w:ascii="Times New Roman" w:hAnsi="Times New Roman" w:cs="Times New Roman"/>
          <w:sz w:val="24"/>
          <w:szCs w:val="24"/>
        </w:rPr>
        <w:t>C</w:t>
      </w:r>
      <w:r w:rsidR="006324E3" w:rsidRPr="00695693">
        <w:rPr>
          <w:rFonts w:ascii="Times New Roman" w:hAnsi="Times New Roman" w:cs="Times New Roman"/>
          <w:sz w:val="24"/>
          <w:szCs w:val="24"/>
        </w:rPr>
        <w:t xml:space="preserve">eci indique </w:t>
      </w:r>
      <w:r w:rsidRPr="00695693">
        <w:rPr>
          <w:rFonts w:ascii="Times New Roman" w:hAnsi="Times New Roman" w:cs="Times New Roman"/>
          <w:sz w:val="24"/>
          <w:szCs w:val="24"/>
        </w:rPr>
        <w:t>que la décision du juge</w:t>
      </w:r>
      <w:r w:rsidR="006C5550" w:rsidRPr="00695693">
        <w:rPr>
          <w:rFonts w:ascii="Times New Roman" w:hAnsi="Times New Roman" w:cs="Times New Roman"/>
          <w:sz w:val="24"/>
          <w:szCs w:val="24"/>
        </w:rPr>
        <w:t xml:space="preserve"> national</w:t>
      </w:r>
      <w:r w:rsidRPr="00695693">
        <w:rPr>
          <w:rFonts w:ascii="Times New Roman" w:hAnsi="Times New Roman" w:cs="Times New Roman"/>
          <w:sz w:val="24"/>
          <w:szCs w:val="24"/>
        </w:rPr>
        <w:t>, de procéder à un renvoi à la Cour de justice de la Communauté, n’est soumise à aucune forme particulière, spéciale, spécifique</w:t>
      </w:r>
      <w:r w:rsidRPr="00695693">
        <w:rPr>
          <w:rStyle w:val="Appelnotedebasdep"/>
          <w:rFonts w:ascii="Times New Roman" w:hAnsi="Times New Roman" w:cs="Times New Roman"/>
          <w:sz w:val="24"/>
          <w:szCs w:val="24"/>
        </w:rPr>
        <w:footnoteReference w:id="149"/>
      </w:r>
      <w:r w:rsidRPr="00695693">
        <w:rPr>
          <w:rFonts w:ascii="Times New Roman" w:hAnsi="Times New Roman" w:cs="Times New Roman"/>
          <w:sz w:val="24"/>
          <w:szCs w:val="24"/>
        </w:rPr>
        <w:t xml:space="preserve">. </w:t>
      </w:r>
      <w:r w:rsidR="001563A3" w:rsidRPr="00695693">
        <w:rPr>
          <w:rFonts w:ascii="Times New Roman" w:hAnsi="Times New Roman" w:cs="Times New Roman"/>
          <w:sz w:val="24"/>
          <w:szCs w:val="24"/>
        </w:rPr>
        <w:t>L</w:t>
      </w:r>
      <w:r w:rsidRPr="00695693">
        <w:rPr>
          <w:rFonts w:ascii="Times New Roman" w:hAnsi="Times New Roman" w:cs="Times New Roman"/>
          <w:sz w:val="24"/>
          <w:szCs w:val="24"/>
        </w:rPr>
        <w:t xml:space="preserve">a forme relève </w:t>
      </w:r>
      <w:r w:rsidR="001563A3" w:rsidRPr="00695693">
        <w:rPr>
          <w:rFonts w:ascii="Times New Roman" w:hAnsi="Times New Roman" w:cs="Times New Roman"/>
          <w:sz w:val="24"/>
          <w:szCs w:val="24"/>
        </w:rPr>
        <w:t xml:space="preserve"> donc </w:t>
      </w:r>
      <w:r w:rsidRPr="00695693">
        <w:rPr>
          <w:rFonts w:ascii="Times New Roman" w:hAnsi="Times New Roman" w:cs="Times New Roman"/>
          <w:sz w:val="24"/>
          <w:szCs w:val="24"/>
        </w:rPr>
        <w:t xml:space="preserve">du droit national, en ce sens que la juridiction nationale est libre de déterminer la forme par laquelle elle souhaite s’adresser à la Cour de justice de la Communauté. </w:t>
      </w:r>
      <w:r w:rsidR="006E727C" w:rsidRPr="00695693">
        <w:rPr>
          <w:rFonts w:ascii="Times New Roman" w:hAnsi="Times New Roman" w:cs="Times New Roman"/>
          <w:sz w:val="24"/>
          <w:szCs w:val="24"/>
        </w:rPr>
        <w:t>C’est ainsi qu’</w:t>
      </w:r>
      <w:r w:rsidR="001563A3" w:rsidRPr="00695693">
        <w:rPr>
          <w:rFonts w:ascii="Times New Roman" w:hAnsi="Times New Roman" w:cs="Times New Roman"/>
          <w:sz w:val="24"/>
          <w:szCs w:val="24"/>
        </w:rPr>
        <w:t xml:space="preserve">elle </w:t>
      </w:r>
      <w:r w:rsidRPr="00695693">
        <w:rPr>
          <w:rFonts w:ascii="Times New Roman" w:hAnsi="Times New Roman" w:cs="Times New Roman"/>
          <w:sz w:val="24"/>
          <w:szCs w:val="24"/>
        </w:rPr>
        <w:t xml:space="preserve"> peut s’adresser à la Cour par voie d’ordonnance, de jugement ou </w:t>
      </w:r>
      <w:r w:rsidR="001563A3" w:rsidRPr="00695693">
        <w:rPr>
          <w:rFonts w:ascii="Times New Roman" w:hAnsi="Times New Roman" w:cs="Times New Roman"/>
          <w:sz w:val="24"/>
          <w:szCs w:val="24"/>
        </w:rPr>
        <w:t>d’</w:t>
      </w:r>
      <w:r w:rsidRPr="00695693">
        <w:rPr>
          <w:rFonts w:ascii="Times New Roman" w:hAnsi="Times New Roman" w:cs="Times New Roman"/>
          <w:sz w:val="24"/>
          <w:szCs w:val="24"/>
        </w:rPr>
        <w:t>arrêt. Cette marge de manœuvre reconnue à la juridiction nationale est étendue au choix du moment de renvoi</w:t>
      </w:r>
      <w:r w:rsidRPr="00695693">
        <w:rPr>
          <w:rStyle w:val="Appelnotedebasdep"/>
          <w:rFonts w:ascii="Times New Roman" w:hAnsi="Times New Roman" w:cs="Times New Roman"/>
          <w:sz w:val="24"/>
          <w:szCs w:val="24"/>
        </w:rPr>
        <w:footnoteReference w:id="150"/>
      </w:r>
      <w:r w:rsidRPr="00695693">
        <w:rPr>
          <w:rFonts w:ascii="Times New Roman" w:hAnsi="Times New Roman" w:cs="Times New Roman"/>
          <w:sz w:val="24"/>
          <w:szCs w:val="24"/>
        </w:rPr>
        <w:t xml:space="preserve">. Cela </w:t>
      </w:r>
      <w:r w:rsidR="006C5550" w:rsidRPr="00695693">
        <w:rPr>
          <w:rFonts w:ascii="Times New Roman" w:hAnsi="Times New Roman" w:cs="Times New Roman"/>
          <w:sz w:val="24"/>
          <w:szCs w:val="24"/>
        </w:rPr>
        <w:t xml:space="preserve">sous-entend </w:t>
      </w:r>
      <w:r w:rsidRPr="00695693">
        <w:rPr>
          <w:rFonts w:ascii="Times New Roman" w:hAnsi="Times New Roman" w:cs="Times New Roman"/>
          <w:sz w:val="24"/>
          <w:szCs w:val="24"/>
        </w:rPr>
        <w:t>que, c’est au juge national seul qu’il appartient de décider « </w:t>
      </w:r>
      <w:r w:rsidRPr="00695693">
        <w:rPr>
          <w:rFonts w:ascii="Times New Roman" w:hAnsi="Times New Roman" w:cs="Times New Roman"/>
          <w:i/>
          <w:sz w:val="24"/>
          <w:szCs w:val="24"/>
        </w:rPr>
        <w:t>à quel stade de la procédure pendante devant (lui) il y a lieu, (…), de déférer une question préjudicielle</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151"/>
      </w:r>
      <w:r w:rsidRPr="00695693">
        <w:rPr>
          <w:rFonts w:ascii="Times New Roman" w:hAnsi="Times New Roman" w:cs="Times New Roman"/>
          <w:sz w:val="24"/>
          <w:szCs w:val="24"/>
        </w:rPr>
        <w:t>. La CJCE décline sa compétence quant à l’appréciation du choix du moment, obéissant « </w:t>
      </w:r>
      <w:r w:rsidRPr="00695693">
        <w:rPr>
          <w:rFonts w:ascii="Times New Roman" w:hAnsi="Times New Roman" w:cs="Times New Roman"/>
          <w:i/>
          <w:sz w:val="24"/>
          <w:szCs w:val="24"/>
        </w:rPr>
        <w:t>à des considérations d’économie et d’utilité procédurale </w:t>
      </w:r>
      <w:r w:rsidRPr="00695693">
        <w:rPr>
          <w:rFonts w:ascii="Times New Roman" w:hAnsi="Times New Roman" w:cs="Times New Roman"/>
          <w:sz w:val="24"/>
          <w:szCs w:val="24"/>
        </w:rPr>
        <w:t>»</w:t>
      </w:r>
      <w:r w:rsidRPr="00695693">
        <w:rPr>
          <w:rStyle w:val="Appelnotedebasdep"/>
          <w:rFonts w:ascii="Times New Roman" w:hAnsi="Times New Roman" w:cs="Times New Roman"/>
          <w:sz w:val="24"/>
          <w:szCs w:val="24"/>
        </w:rPr>
        <w:footnoteReference w:id="152"/>
      </w:r>
      <w:r w:rsidRPr="00695693">
        <w:rPr>
          <w:rFonts w:ascii="Times New Roman" w:hAnsi="Times New Roman" w:cs="Times New Roman"/>
          <w:sz w:val="24"/>
          <w:szCs w:val="24"/>
        </w:rPr>
        <w:t>.</w:t>
      </w:r>
    </w:p>
    <w:p w:rsidR="007A1FFC"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En tout état de cause, on gardera à l’esprit que le législateur CEDEAO, en instituant la technique du recours préjudiciel, n’a pas entendu donner au </w:t>
      </w:r>
      <w:r w:rsidR="001563A3" w:rsidRPr="00695693">
        <w:rPr>
          <w:rFonts w:ascii="Times New Roman" w:hAnsi="Times New Roman" w:cs="Times New Roman"/>
          <w:sz w:val="24"/>
          <w:szCs w:val="24"/>
        </w:rPr>
        <w:t xml:space="preserve">futur </w:t>
      </w:r>
      <w:r w:rsidRPr="00695693">
        <w:rPr>
          <w:rFonts w:ascii="Times New Roman" w:hAnsi="Times New Roman" w:cs="Times New Roman"/>
          <w:sz w:val="24"/>
          <w:szCs w:val="24"/>
        </w:rPr>
        <w:t xml:space="preserve">juge </w:t>
      </w:r>
      <w:r w:rsidR="001563A3" w:rsidRPr="00695693">
        <w:rPr>
          <w:rFonts w:ascii="Times New Roman" w:hAnsi="Times New Roman" w:cs="Times New Roman"/>
          <w:sz w:val="24"/>
          <w:szCs w:val="24"/>
        </w:rPr>
        <w:t xml:space="preserve">de renvoi </w:t>
      </w:r>
      <w:r w:rsidRPr="00695693">
        <w:rPr>
          <w:rFonts w:ascii="Times New Roman" w:hAnsi="Times New Roman" w:cs="Times New Roman"/>
          <w:sz w:val="24"/>
          <w:szCs w:val="24"/>
        </w:rPr>
        <w:t xml:space="preserve">une forme </w:t>
      </w:r>
      <w:r w:rsidRPr="00695693">
        <w:rPr>
          <w:rFonts w:ascii="Times New Roman" w:hAnsi="Times New Roman" w:cs="Times New Roman"/>
          <w:sz w:val="24"/>
          <w:szCs w:val="24"/>
        </w:rPr>
        <w:lastRenderedPageBreak/>
        <w:t xml:space="preserve">spécifique à suivre, lorsqu’il estime nécessaire de saisir la Cour de justice d’une question préjudicielle. </w:t>
      </w:r>
      <w:r w:rsidR="00573C4E" w:rsidRPr="00845BCA">
        <w:rPr>
          <w:rFonts w:ascii="Times New Roman" w:hAnsi="Times New Roman" w:cs="Times New Roman"/>
          <w:sz w:val="24"/>
          <w:szCs w:val="24"/>
        </w:rPr>
        <w:t>Cette absence de formalisme pourrait se justifier d’une part</w:t>
      </w:r>
      <w:r w:rsidR="000772FD">
        <w:rPr>
          <w:rFonts w:ascii="Times New Roman" w:hAnsi="Times New Roman" w:cs="Times New Roman"/>
          <w:sz w:val="24"/>
          <w:szCs w:val="24"/>
        </w:rPr>
        <w:t xml:space="preserve"> par le fait que le mécanisme du</w:t>
      </w:r>
      <w:r w:rsidR="00573C4E" w:rsidRPr="00845BCA">
        <w:rPr>
          <w:rFonts w:ascii="Times New Roman" w:hAnsi="Times New Roman" w:cs="Times New Roman"/>
          <w:sz w:val="24"/>
          <w:szCs w:val="24"/>
        </w:rPr>
        <w:t xml:space="preserve"> re</w:t>
      </w:r>
      <w:r w:rsidR="000772FD">
        <w:rPr>
          <w:rFonts w:ascii="Times New Roman" w:hAnsi="Times New Roman" w:cs="Times New Roman"/>
          <w:sz w:val="24"/>
          <w:szCs w:val="24"/>
        </w:rPr>
        <w:t xml:space="preserve">nvoi </w:t>
      </w:r>
      <w:r w:rsidR="00573C4E" w:rsidRPr="00845BCA">
        <w:rPr>
          <w:rFonts w:ascii="Times New Roman" w:hAnsi="Times New Roman" w:cs="Times New Roman"/>
          <w:sz w:val="24"/>
          <w:szCs w:val="24"/>
        </w:rPr>
        <w:t>préjudiciel est un renvoi de juge à juge et d’autre part par la volonté du législateur communautaire de faciliter, voire encourager les juridictions nationales à faire fréquemment usage de ce mécanisme</w:t>
      </w:r>
      <w:r w:rsidR="00573C4E" w:rsidRPr="00845BCA">
        <w:rPr>
          <w:rStyle w:val="Appelnotedebasdep"/>
          <w:rFonts w:ascii="Times New Roman" w:hAnsi="Times New Roman" w:cs="Times New Roman"/>
          <w:sz w:val="24"/>
          <w:szCs w:val="24"/>
        </w:rPr>
        <w:footnoteReference w:id="153"/>
      </w:r>
      <w:r w:rsidR="008C08AE" w:rsidRPr="00845BCA">
        <w:rPr>
          <w:rFonts w:ascii="Times New Roman" w:hAnsi="Times New Roman" w:cs="Times New Roman"/>
          <w:sz w:val="24"/>
          <w:szCs w:val="24"/>
        </w:rPr>
        <w:t>.</w:t>
      </w:r>
    </w:p>
    <w:p w:rsidR="00694424" w:rsidRPr="00695693" w:rsidRDefault="00A073F7" w:rsidP="00695693">
      <w:pPr>
        <w:spacing w:line="360" w:lineRule="auto"/>
        <w:jc w:val="both"/>
        <w:rPr>
          <w:rFonts w:ascii="Times New Roman" w:hAnsi="Times New Roman" w:cs="Times New Roman"/>
          <w:sz w:val="24"/>
          <w:szCs w:val="24"/>
        </w:rPr>
      </w:pPr>
      <w:r>
        <w:rPr>
          <w:rFonts w:ascii="Times New Roman" w:hAnsi="Times New Roman" w:cs="Times New Roman"/>
          <w:sz w:val="24"/>
          <w:szCs w:val="24"/>
        </w:rPr>
        <w:t>En revanche</w:t>
      </w:r>
      <w:r w:rsidR="00694424" w:rsidRPr="00695693">
        <w:rPr>
          <w:rFonts w:ascii="Times New Roman" w:hAnsi="Times New Roman" w:cs="Times New Roman"/>
          <w:sz w:val="24"/>
          <w:szCs w:val="24"/>
        </w:rPr>
        <w:t xml:space="preserve">, </w:t>
      </w:r>
      <w:r w:rsidR="00E41DCA" w:rsidRPr="00695693">
        <w:rPr>
          <w:rFonts w:ascii="Times New Roman" w:hAnsi="Times New Roman" w:cs="Times New Roman"/>
          <w:sz w:val="24"/>
          <w:szCs w:val="24"/>
        </w:rPr>
        <w:t xml:space="preserve">le juge communautaire </w:t>
      </w:r>
      <w:r w:rsidR="00694424" w:rsidRPr="00695693">
        <w:rPr>
          <w:rFonts w:ascii="Times New Roman" w:hAnsi="Times New Roman" w:cs="Times New Roman"/>
          <w:sz w:val="24"/>
          <w:szCs w:val="24"/>
        </w:rPr>
        <w:t xml:space="preserve">ne procédera à la réception, c’est-à-dire la recevabilité de la question posée par le juge national qu’à la réunion des </w:t>
      </w:r>
      <w:r w:rsidR="006E727C" w:rsidRPr="00695693">
        <w:rPr>
          <w:rFonts w:ascii="Times New Roman" w:hAnsi="Times New Roman" w:cs="Times New Roman"/>
          <w:sz w:val="24"/>
          <w:szCs w:val="24"/>
        </w:rPr>
        <w:t>conditions relatives à la juridiction communautaire</w:t>
      </w:r>
      <w:r w:rsidR="00694424" w:rsidRPr="00695693">
        <w:rPr>
          <w:rFonts w:ascii="Times New Roman" w:hAnsi="Times New Roman" w:cs="Times New Roman"/>
          <w:sz w:val="24"/>
          <w:szCs w:val="24"/>
        </w:rPr>
        <w:t xml:space="preserve">. </w:t>
      </w:r>
    </w:p>
    <w:p w:rsidR="00FF702A" w:rsidRPr="00802E04" w:rsidRDefault="007C576C" w:rsidP="002F7CA3">
      <w:pPr>
        <w:pStyle w:val="Titre4"/>
      </w:pPr>
      <w:bookmarkStart w:id="47" w:name="_Toc518672798"/>
      <w:r w:rsidRPr="00802E04">
        <w:t>§ 2</w:t>
      </w:r>
      <w:r w:rsidR="00694424" w:rsidRPr="00802E04">
        <w:t xml:space="preserve"> : les conditions </w:t>
      </w:r>
      <w:r w:rsidR="0056070E" w:rsidRPr="00802E04">
        <w:t>relatives à la juridiction communautaire</w:t>
      </w:r>
      <w:bookmarkEnd w:id="47"/>
    </w:p>
    <w:p w:rsidR="00694424" w:rsidRPr="00695693" w:rsidRDefault="00694424" w:rsidP="00695693">
      <w:pPr>
        <w:spacing w:line="360" w:lineRule="auto"/>
        <w:jc w:val="both"/>
        <w:rPr>
          <w:rFonts w:ascii="Times New Roman" w:hAnsi="Times New Roman" w:cs="Times New Roman"/>
          <w:b/>
          <w:sz w:val="24"/>
          <w:szCs w:val="24"/>
        </w:rPr>
      </w:pPr>
      <w:r w:rsidRPr="00695693">
        <w:rPr>
          <w:rFonts w:ascii="Times New Roman" w:hAnsi="Times New Roman" w:cs="Times New Roman"/>
          <w:sz w:val="24"/>
          <w:szCs w:val="24"/>
        </w:rPr>
        <w:t xml:space="preserve">Nonobstant </w:t>
      </w:r>
      <w:r w:rsidR="00706654" w:rsidRPr="00695693">
        <w:rPr>
          <w:rFonts w:ascii="Times New Roman" w:hAnsi="Times New Roman" w:cs="Times New Roman"/>
          <w:sz w:val="24"/>
          <w:szCs w:val="24"/>
        </w:rPr>
        <w:t xml:space="preserve">le fait </w:t>
      </w:r>
      <w:r w:rsidRPr="00695693">
        <w:rPr>
          <w:rFonts w:ascii="Times New Roman" w:hAnsi="Times New Roman" w:cs="Times New Roman"/>
          <w:sz w:val="24"/>
          <w:szCs w:val="24"/>
        </w:rPr>
        <w:t>que la Cour de justice soit tenue de statuer sur l’interprétation ou l’appréciation de validité d’une dispositio</w:t>
      </w:r>
      <w:r w:rsidR="00AE0F48" w:rsidRPr="00695693">
        <w:rPr>
          <w:rFonts w:ascii="Times New Roman" w:hAnsi="Times New Roman" w:cs="Times New Roman"/>
          <w:sz w:val="24"/>
          <w:szCs w:val="24"/>
        </w:rPr>
        <w:t>n du droit CEDEAO, elle pourra</w:t>
      </w:r>
      <w:r w:rsidR="00706654" w:rsidRPr="00695693">
        <w:rPr>
          <w:rFonts w:ascii="Times New Roman" w:hAnsi="Times New Roman" w:cs="Times New Roman"/>
          <w:sz w:val="24"/>
          <w:szCs w:val="24"/>
        </w:rPr>
        <w:t>it</w:t>
      </w:r>
      <w:r w:rsidRPr="00695693">
        <w:rPr>
          <w:rFonts w:ascii="Times New Roman" w:hAnsi="Times New Roman" w:cs="Times New Roman"/>
          <w:sz w:val="24"/>
          <w:szCs w:val="24"/>
        </w:rPr>
        <w:t xml:space="preserve"> être amenée à rejeter certains renvois, sur </w:t>
      </w:r>
      <w:r w:rsidR="00706654" w:rsidRPr="00695693">
        <w:rPr>
          <w:rFonts w:ascii="Times New Roman" w:hAnsi="Times New Roman" w:cs="Times New Roman"/>
          <w:sz w:val="24"/>
          <w:szCs w:val="24"/>
        </w:rPr>
        <w:t xml:space="preserve">la base de </w:t>
      </w:r>
      <w:r w:rsidRPr="00695693">
        <w:rPr>
          <w:rFonts w:ascii="Times New Roman" w:hAnsi="Times New Roman" w:cs="Times New Roman"/>
          <w:sz w:val="24"/>
          <w:szCs w:val="24"/>
        </w:rPr>
        <w:t>différents fondements</w:t>
      </w:r>
      <w:r w:rsidRPr="00695693">
        <w:rPr>
          <w:rStyle w:val="Appelnotedebasdep"/>
          <w:rFonts w:ascii="Times New Roman" w:hAnsi="Times New Roman" w:cs="Times New Roman"/>
          <w:sz w:val="24"/>
          <w:szCs w:val="24"/>
        </w:rPr>
        <w:footnoteReference w:id="154"/>
      </w:r>
      <w:r w:rsidR="00706654" w:rsidRPr="00695693">
        <w:rPr>
          <w:rFonts w:ascii="Times New Roman" w:hAnsi="Times New Roman" w:cs="Times New Roman"/>
          <w:sz w:val="24"/>
          <w:szCs w:val="24"/>
        </w:rPr>
        <w:t>, liés aux conditions de recevabilités. Ces conditions concernent</w:t>
      </w:r>
      <w:r w:rsidR="00592F8A">
        <w:rPr>
          <w:rFonts w:ascii="Times New Roman" w:hAnsi="Times New Roman" w:cs="Times New Roman"/>
          <w:sz w:val="24"/>
          <w:szCs w:val="24"/>
        </w:rPr>
        <w:t>,</w:t>
      </w:r>
      <w:r w:rsidR="00706654" w:rsidRPr="00695693">
        <w:rPr>
          <w:rFonts w:ascii="Times New Roman" w:hAnsi="Times New Roman" w:cs="Times New Roman"/>
          <w:sz w:val="24"/>
          <w:szCs w:val="24"/>
        </w:rPr>
        <w:t xml:space="preserve"> d’une part</w:t>
      </w:r>
      <w:r w:rsidR="00592F8A">
        <w:rPr>
          <w:rFonts w:ascii="Times New Roman" w:hAnsi="Times New Roman" w:cs="Times New Roman"/>
          <w:sz w:val="24"/>
          <w:szCs w:val="24"/>
        </w:rPr>
        <w:t>,</w:t>
      </w:r>
      <w:r w:rsidRPr="00695693">
        <w:rPr>
          <w:rFonts w:ascii="Times New Roman" w:hAnsi="Times New Roman" w:cs="Times New Roman"/>
          <w:sz w:val="24"/>
          <w:szCs w:val="24"/>
        </w:rPr>
        <w:t xml:space="preserve">l’exigence de clarté de la question </w:t>
      </w:r>
      <w:r w:rsidRPr="00F758F7">
        <w:rPr>
          <w:rFonts w:ascii="Times New Roman" w:hAnsi="Times New Roman" w:cs="Times New Roman"/>
          <w:b/>
          <w:sz w:val="24"/>
          <w:szCs w:val="24"/>
        </w:rPr>
        <w:t xml:space="preserve">(A) </w:t>
      </w:r>
      <w:r w:rsidRPr="00695693">
        <w:rPr>
          <w:rFonts w:ascii="Times New Roman" w:hAnsi="Times New Roman" w:cs="Times New Roman"/>
          <w:sz w:val="24"/>
          <w:szCs w:val="24"/>
        </w:rPr>
        <w:t>et</w:t>
      </w:r>
      <w:r w:rsidR="00592F8A">
        <w:rPr>
          <w:rFonts w:ascii="Times New Roman" w:hAnsi="Times New Roman" w:cs="Times New Roman"/>
          <w:sz w:val="24"/>
          <w:szCs w:val="24"/>
        </w:rPr>
        <w:t>,</w:t>
      </w:r>
      <w:r w:rsidR="00706654" w:rsidRPr="00695693">
        <w:rPr>
          <w:rFonts w:ascii="Times New Roman" w:hAnsi="Times New Roman" w:cs="Times New Roman"/>
          <w:sz w:val="24"/>
          <w:szCs w:val="24"/>
        </w:rPr>
        <w:t xml:space="preserve">d’autre part, </w:t>
      </w:r>
      <w:r w:rsidRPr="00695693">
        <w:rPr>
          <w:rFonts w:ascii="Times New Roman" w:hAnsi="Times New Roman" w:cs="Times New Roman"/>
          <w:sz w:val="24"/>
          <w:szCs w:val="24"/>
        </w:rPr>
        <w:t xml:space="preserve">l’exigence du lien entre la question et le litige au principal </w:t>
      </w:r>
      <w:r w:rsidRPr="00F758F7">
        <w:rPr>
          <w:rFonts w:ascii="Times New Roman" w:hAnsi="Times New Roman" w:cs="Times New Roman"/>
          <w:b/>
          <w:sz w:val="24"/>
          <w:szCs w:val="24"/>
        </w:rPr>
        <w:t>(B)</w:t>
      </w:r>
      <w:r w:rsidRPr="00695693">
        <w:rPr>
          <w:rFonts w:ascii="Times New Roman" w:hAnsi="Times New Roman" w:cs="Times New Roman"/>
          <w:sz w:val="24"/>
          <w:szCs w:val="24"/>
        </w:rPr>
        <w:t>.</w:t>
      </w:r>
    </w:p>
    <w:p w:rsidR="00694424" w:rsidRPr="00802E04" w:rsidRDefault="00FD1251" w:rsidP="0037430F">
      <w:pPr>
        <w:pStyle w:val="Titre5"/>
      </w:pPr>
      <w:bookmarkStart w:id="48" w:name="_Toc518672799"/>
      <w:r w:rsidRPr="00802E04">
        <w:t xml:space="preserve">A. </w:t>
      </w:r>
      <w:r w:rsidR="00694424" w:rsidRPr="00802E04">
        <w:t>L’exigence de clarté de la question</w:t>
      </w:r>
      <w:bookmarkEnd w:id="48"/>
    </w:p>
    <w:p w:rsidR="00C94E32"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A l’instar de toutes les autres juridictions, le premier constat auquel procédera la Cour de justice de la Communauté CEDEAO lors de la recevabilité de la question préjudicielle va être celui du contrôle de sa propre compétence</w:t>
      </w:r>
      <w:r w:rsidR="0062799B">
        <w:rPr>
          <w:rStyle w:val="Appelnotedebasdep"/>
          <w:rFonts w:ascii="Times New Roman" w:hAnsi="Times New Roman" w:cs="Times New Roman"/>
          <w:sz w:val="24"/>
          <w:szCs w:val="24"/>
        </w:rPr>
        <w:footnoteReference w:id="155"/>
      </w:r>
      <w:r w:rsidRPr="00695693">
        <w:rPr>
          <w:rFonts w:ascii="Times New Roman" w:hAnsi="Times New Roman" w:cs="Times New Roman"/>
          <w:sz w:val="24"/>
          <w:szCs w:val="24"/>
        </w:rPr>
        <w:t xml:space="preserve">. </w:t>
      </w:r>
    </w:p>
    <w:p w:rsidR="00694424" w:rsidRPr="00695693" w:rsidRDefault="007D4251" w:rsidP="006956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Cette situation est claire </w:t>
      </w:r>
      <w:r w:rsidR="003B2307">
        <w:rPr>
          <w:rFonts w:ascii="Times New Roman" w:hAnsi="Times New Roman" w:cs="Times New Roman"/>
          <w:sz w:val="24"/>
          <w:szCs w:val="24"/>
        </w:rPr>
        <w:t xml:space="preserve">dans la jurisprudence </w:t>
      </w:r>
      <w:r w:rsidRPr="003B2307">
        <w:rPr>
          <w:rFonts w:ascii="Times New Roman" w:hAnsi="Times New Roman" w:cs="Times New Roman"/>
          <w:sz w:val="24"/>
          <w:szCs w:val="24"/>
        </w:rPr>
        <w:t xml:space="preserve">de </w:t>
      </w:r>
      <w:r w:rsidR="003B5BE6">
        <w:rPr>
          <w:rFonts w:ascii="Times New Roman" w:hAnsi="Times New Roman" w:cs="Times New Roman"/>
          <w:sz w:val="24"/>
          <w:szCs w:val="24"/>
        </w:rPr>
        <w:t xml:space="preserve">la Cour de justice de </w:t>
      </w:r>
      <w:r w:rsidRPr="003B2307">
        <w:rPr>
          <w:rFonts w:ascii="Times New Roman" w:hAnsi="Times New Roman" w:cs="Times New Roman"/>
          <w:sz w:val="24"/>
          <w:szCs w:val="24"/>
        </w:rPr>
        <w:t xml:space="preserve">l’Union </w:t>
      </w:r>
      <w:r w:rsidR="00694424" w:rsidRPr="003B2307">
        <w:rPr>
          <w:rFonts w:ascii="Times New Roman" w:hAnsi="Times New Roman" w:cs="Times New Roman"/>
          <w:sz w:val="24"/>
          <w:szCs w:val="24"/>
        </w:rPr>
        <w:t>européen</w:t>
      </w:r>
      <w:r w:rsidRPr="003B2307">
        <w:rPr>
          <w:rFonts w:ascii="Times New Roman" w:hAnsi="Times New Roman" w:cs="Times New Roman"/>
          <w:sz w:val="24"/>
          <w:szCs w:val="24"/>
        </w:rPr>
        <w:t xml:space="preserve">ne, notamment dans l’arrêt </w:t>
      </w:r>
      <w:r w:rsidRPr="003B2307">
        <w:rPr>
          <w:rFonts w:ascii="Times New Roman" w:hAnsi="Times New Roman" w:cs="Times New Roman"/>
          <w:i/>
          <w:sz w:val="24"/>
          <w:szCs w:val="24"/>
        </w:rPr>
        <w:t>Foglia</w:t>
      </w:r>
      <w:r w:rsidRPr="003B2307">
        <w:rPr>
          <w:rFonts w:ascii="Times New Roman" w:hAnsi="Times New Roman" w:cs="Times New Roman"/>
          <w:sz w:val="24"/>
          <w:szCs w:val="24"/>
        </w:rPr>
        <w:t xml:space="preserve"> du 16 décembre 1981 où </w:t>
      </w:r>
      <w:r w:rsidR="00694424" w:rsidRPr="003B2307">
        <w:rPr>
          <w:rFonts w:ascii="Times New Roman" w:hAnsi="Times New Roman" w:cs="Times New Roman"/>
          <w:sz w:val="24"/>
          <w:szCs w:val="24"/>
        </w:rPr>
        <w:t>la C</w:t>
      </w:r>
      <w:r w:rsidRPr="003B2307">
        <w:rPr>
          <w:rFonts w:ascii="Times New Roman" w:hAnsi="Times New Roman" w:cs="Times New Roman"/>
          <w:sz w:val="24"/>
          <w:szCs w:val="24"/>
        </w:rPr>
        <w:t xml:space="preserve">our de justice s’interroge d’abord sur sa propre compétence avant d’examiner au fond toute question </w:t>
      </w:r>
      <w:r w:rsidR="003B5BE6">
        <w:rPr>
          <w:rFonts w:ascii="Times New Roman" w:hAnsi="Times New Roman" w:cs="Times New Roman"/>
          <w:sz w:val="24"/>
          <w:szCs w:val="24"/>
        </w:rPr>
        <w:t xml:space="preserve">préjudicielle </w:t>
      </w:r>
      <w:r w:rsidRPr="003B2307">
        <w:rPr>
          <w:rFonts w:ascii="Times New Roman" w:hAnsi="Times New Roman" w:cs="Times New Roman"/>
          <w:sz w:val="24"/>
          <w:szCs w:val="24"/>
        </w:rPr>
        <w:t>se trouvant devant son prétoire</w:t>
      </w:r>
      <w:r w:rsidR="00694424" w:rsidRPr="00695693">
        <w:rPr>
          <w:rStyle w:val="Appelnotedebasdep"/>
          <w:rFonts w:ascii="Times New Roman" w:hAnsi="Times New Roman" w:cs="Times New Roman"/>
          <w:sz w:val="24"/>
          <w:szCs w:val="24"/>
        </w:rPr>
        <w:footnoteReference w:id="156"/>
      </w:r>
      <w:r w:rsidR="00872E98" w:rsidRPr="00695693">
        <w:rPr>
          <w:rFonts w:ascii="Times New Roman" w:hAnsi="Times New Roman" w:cs="Times New Roman"/>
          <w:sz w:val="24"/>
          <w:szCs w:val="24"/>
        </w:rPr>
        <w:t xml:space="preserve">. </w:t>
      </w:r>
      <w:r w:rsidR="00A84409">
        <w:rPr>
          <w:rFonts w:ascii="Times New Roman" w:hAnsi="Times New Roman" w:cs="Times New Roman"/>
          <w:sz w:val="24"/>
          <w:szCs w:val="24"/>
        </w:rPr>
        <w:t>Toutefois, il est opportun de rappeler que l</w:t>
      </w:r>
      <w:r w:rsidR="00872E98" w:rsidRPr="00695693">
        <w:rPr>
          <w:rFonts w:ascii="Times New Roman" w:hAnsi="Times New Roman" w:cs="Times New Roman"/>
          <w:sz w:val="24"/>
          <w:szCs w:val="24"/>
        </w:rPr>
        <w:t xml:space="preserve">’intervention de la Cour </w:t>
      </w:r>
      <w:r w:rsidR="00812122">
        <w:rPr>
          <w:rFonts w:ascii="Times New Roman" w:hAnsi="Times New Roman" w:cs="Times New Roman"/>
          <w:sz w:val="24"/>
          <w:szCs w:val="24"/>
        </w:rPr>
        <w:t xml:space="preserve">ne </w:t>
      </w:r>
      <w:r w:rsidR="00812122">
        <w:rPr>
          <w:rFonts w:ascii="Times New Roman" w:hAnsi="Times New Roman" w:cs="Times New Roman"/>
          <w:sz w:val="24"/>
          <w:szCs w:val="24"/>
        </w:rPr>
        <w:lastRenderedPageBreak/>
        <w:t xml:space="preserve">saurait aller au-delà de </w:t>
      </w:r>
      <w:r w:rsidR="00694424" w:rsidRPr="00695693">
        <w:rPr>
          <w:rFonts w:ascii="Times New Roman" w:hAnsi="Times New Roman" w:cs="Times New Roman"/>
          <w:sz w:val="24"/>
          <w:szCs w:val="24"/>
        </w:rPr>
        <w:t>sa propre compétence. Ceci implique qu’ « </w:t>
      </w:r>
      <w:r w:rsidR="00694424" w:rsidRPr="00695693">
        <w:rPr>
          <w:rFonts w:ascii="Times New Roman" w:hAnsi="Times New Roman" w:cs="Times New Roman"/>
          <w:i/>
          <w:sz w:val="24"/>
          <w:szCs w:val="24"/>
        </w:rPr>
        <w:t>il ne lui appartient toutefois pas, vu la répartition des fonctions entre elle et la juridiction nationale, de vérifier si la décision par laquelle elle a été saisie a été prise conformément aux règles d’organisation et de procédure judiciaires du droit national</w:t>
      </w:r>
      <w:r w:rsidR="00694424" w:rsidRPr="00695693">
        <w:rPr>
          <w:rFonts w:ascii="Times New Roman" w:hAnsi="Times New Roman" w:cs="Times New Roman"/>
          <w:sz w:val="24"/>
          <w:szCs w:val="24"/>
        </w:rPr>
        <w:t> »</w:t>
      </w:r>
      <w:r w:rsidR="00694424" w:rsidRPr="00695693">
        <w:rPr>
          <w:rStyle w:val="Appelnotedebasdep"/>
          <w:rFonts w:ascii="Times New Roman" w:hAnsi="Times New Roman" w:cs="Times New Roman"/>
          <w:sz w:val="24"/>
          <w:szCs w:val="24"/>
        </w:rPr>
        <w:footnoteReference w:id="157"/>
      </w:r>
      <w:r w:rsidR="00694424" w:rsidRPr="00695693">
        <w:rPr>
          <w:rFonts w:ascii="Times New Roman" w:hAnsi="Times New Roman" w:cs="Times New Roman"/>
          <w:sz w:val="24"/>
          <w:szCs w:val="24"/>
        </w:rPr>
        <w:t>.Si la Cour décline sa compétence, elle n’a pas à vérifier les conditions de recevabilité pour rejeter la demande de renvoi ; par contre</w:t>
      </w:r>
      <w:r w:rsidR="00872E98" w:rsidRPr="00695693">
        <w:rPr>
          <w:rFonts w:ascii="Times New Roman" w:hAnsi="Times New Roman" w:cs="Times New Roman"/>
          <w:sz w:val="24"/>
          <w:szCs w:val="24"/>
        </w:rPr>
        <w:t>,</w:t>
      </w:r>
      <w:r w:rsidR="00694424" w:rsidRPr="00695693">
        <w:rPr>
          <w:rFonts w:ascii="Times New Roman" w:hAnsi="Times New Roman" w:cs="Times New Roman"/>
          <w:sz w:val="24"/>
          <w:szCs w:val="24"/>
        </w:rPr>
        <w:t xml:space="preserve"> si elle se reconnait compétente, elle procédera à la vérification desdites conditions. Parmi ces dernières, la Cour va exiger la clarté de la question. Celle-ci fa</w:t>
      </w:r>
      <w:r w:rsidR="00872E98" w:rsidRPr="00695693">
        <w:rPr>
          <w:rFonts w:ascii="Times New Roman" w:hAnsi="Times New Roman" w:cs="Times New Roman"/>
          <w:sz w:val="24"/>
          <w:szCs w:val="24"/>
        </w:rPr>
        <w:t>it appel à un certain nombre d’</w:t>
      </w:r>
      <w:r w:rsidR="00FF702A" w:rsidRPr="00695693">
        <w:rPr>
          <w:rFonts w:ascii="Times New Roman" w:hAnsi="Times New Roman" w:cs="Times New Roman"/>
          <w:sz w:val="24"/>
          <w:szCs w:val="24"/>
        </w:rPr>
        <w:t>éléments, liés à</w:t>
      </w:r>
      <w:r w:rsidR="00694424" w:rsidRPr="00695693">
        <w:rPr>
          <w:rFonts w:ascii="Times New Roman" w:hAnsi="Times New Roman" w:cs="Times New Roman"/>
          <w:sz w:val="24"/>
          <w:szCs w:val="24"/>
        </w:rPr>
        <w:t xml:space="preserve"> la qualité de </w:t>
      </w:r>
      <w:r w:rsidR="00FF702A" w:rsidRPr="00695693">
        <w:rPr>
          <w:rFonts w:ascii="Times New Roman" w:hAnsi="Times New Roman" w:cs="Times New Roman"/>
          <w:sz w:val="24"/>
          <w:szCs w:val="24"/>
        </w:rPr>
        <w:t>l’organe ayant fait le renvoi, à</w:t>
      </w:r>
      <w:r w:rsidR="00872E98" w:rsidRPr="00695693">
        <w:rPr>
          <w:rFonts w:ascii="Times New Roman" w:hAnsi="Times New Roman" w:cs="Times New Roman"/>
          <w:sz w:val="24"/>
          <w:szCs w:val="24"/>
        </w:rPr>
        <w:t xml:space="preserve"> l’objet de la question posée</w:t>
      </w:r>
      <w:r w:rsidR="00550C45">
        <w:rPr>
          <w:rFonts w:ascii="Times New Roman" w:hAnsi="Times New Roman" w:cs="Times New Roman"/>
          <w:sz w:val="24"/>
          <w:szCs w:val="24"/>
        </w:rPr>
        <w:t>,</w:t>
      </w:r>
      <w:r w:rsidR="00FF702A" w:rsidRPr="00695693">
        <w:rPr>
          <w:rFonts w:ascii="Times New Roman" w:hAnsi="Times New Roman" w:cs="Times New Roman"/>
          <w:sz w:val="24"/>
          <w:szCs w:val="24"/>
        </w:rPr>
        <w:t xml:space="preserve">et </w:t>
      </w:r>
      <w:r w:rsidR="00550C45">
        <w:rPr>
          <w:rFonts w:ascii="Times New Roman" w:hAnsi="Times New Roman" w:cs="Times New Roman"/>
          <w:sz w:val="24"/>
          <w:szCs w:val="24"/>
        </w:rPr>
        <w:t xml:space="preserve">enfin </w:t>
      </w:r>
      <w:r w:rsidR="00FF702A" w:rsidRPr="00695693">
        <w:rPr>
          <w:rFonts w:ascii="Times New Roman" w:hAnsi="Times New Roman" w:cs="Times New Roman"/>
          <w:sz w:val="24"/>
          <w:szCs w:val="24"/>
        </w:rPr>
        <w:t>à</w:t>
      </w:r>
      <w:r w:rsidR="00694424" w:rsidRPr="00695693">
        <w:rPr>
          <w:rFonts w:ascii="Times New Roman" w:hAnsi="Times New Roman" w:cs="Times New Roman"/>
          <w:sz w:val="24"/>
          <w:szCs w:val="24"/>
        </w:rPr>
        <w:t xml:space="preserve"> s</w:t>
      </w:r>
      <w:r w:rsidR="008A0773">
        <w:rPr>
          <w:rFonts w:ascii="Times New Roman" w:hAnsi="Times New Roman" w:cs="Times New Roman"/>
          <w:sz w:val="24"/>
          <w:szCs w:val="24"/>
        </w:rPr>
        <w:t xml:space="preserve">on contenu. </w:t>
      </w:r>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En ce qui concerne la qualité de l’organe de renvoi, notons qu’au sens de l’article 10</w:t>
      </w:r>
      <w:r w:rsidR="00C94E32" w:rsidRPr="00695693">
        <w:rPr>
          <w:rFonts w:ascii="Times New Roman" w:hAnsi="Times New Roman" w:cs="Times New Roman"/>
          <w:sz w:val="24"/>
          <w:szCs w:val="24"/>
        </w:rPr>
        <w:t>,</w:t>
      </w:r>
      <w:r w:rsidR="008B57A7">
        <w:rPr>
          <w:rFonts w:ascii="Times New Roman" w:hAnsi="Times New Roman" w:cs="Times New Roman"/>
          <w:sz w:val="24"/>
          <w:szCs w:val="24"/>
        </w:rPr>
        <w:t xml:space="preserve">point </w:t>
      </w:r>
      <w:r w:rsidR="006E41BE" w:rsidRPr="00695693">
        <w:rPr>
          <w:rFonts w:ascii="Times New Roman" w:hAnsi="Times New Roman" w:cs="Times New Roman"/>
          <w:sz w:val="24"/>
          <w:szCs w:val="24"/>
        </w:rPr>
        <w:t>f du protocole d’Accra du 19 j</w:t>
      </w:r>
      <w:r w:rsidRPr="00695693">
        <w:rPr>
          <w:rFonts w:ascii="Times New Roman" w:hAnsi="Times New Roman" w:cs="Times New Roman"/>
          <w:sz w:val="24"/>
          <w:szCs w:val="24"/>
        </w:rPr>
        <w:t>anvier 2005, la question doit émaner d’une juridiction nationale, c’est-à-dire d’un Etat partie à la Communauté CEDEAO</w:t>
      </w:r>
      <w:r w:rsidR="00C9544C">
        <w:rPr>
          <w:rFonts w:ascii="Times New Roman" w:hAnsi="Times New Roman" w:cs="Times New Roman"/>
          <w:sz w:val="24"/>
          <w:szCs w:val="24"/>
        </w:rPr>
        <w:t>, peu importe sa nature ou son degré dans l’ord</w:t>
      </w:r>
      <w:r w:rsidR="008B57A7">
        <w:rPr>
          <w:rFonts w:ascii="Times New Roman" w:hAnsi="Times New Roman" w:cs="Times New Roman"/>
          <w:sz w:val="24"/>
          <w:szCs w:val="24"/>
        </w:rPr>
        <w:t xml:space="preserve">re </w:t>
      </w:r>
      <w:r w:rsidR="00C9544C">
        <w:rPr>
          <w:rFonts w:ascii="Times New Roman" w:hAnsi="Times New Roman" w:cs="Times New Roman"/>
          <w:sz w:val="24"/>
          <w:szCs w:val="24"/>
        </w:rPr>
        <w:t>juridique interne</w:t>
      </w:r>
      <w:r w:rsidRPr="00695693">
        <w:rPr>
          <w:rFonts w:ascii="Times New Roman" w:hAnsi="Times New Roman" w:cs="Times New Roman"/>
          <w:sz w:val="24"/>
          <w:szCs w:val="24"/>
        </w:rPr>
        <w:t xml:space="preserve">. Il revient donc au juge CEDEAO d’apprécier le caractère juridictionnel de l’organe à l’origine de la question. Dans le système </w:t>
      </w:r>
      <w:r w:rsidR="00921369">
        <w:rPr>
          <w:rFonts w:ascii="Times New Roman" w:hAnsi="Times New Roman" w:cs="Times New Roman"/>
          <w:sz w:val="24"/>
          <w:szCs w:val="24"/>
        </w:rPr>
        <w:t xml:space="preserve">communautaire </w:t>
      </w:r>
      <w:r w:rsidRPr="00695693">
        <w:rPr>
          <w:rFonts w:ascii="Times New Roman" w:hAnsi="Times New Roman" w:cs="Times New Roman"/>
          <w:sz w:val="24"/>
          <w:szCs w:val="24"/>
        </w:rPr>
        <w:t>européen, la CJCE « </w:t>
      </w:r>
      <w:r w:rsidRPr="00695693">
        <w:rPr>
          <w:rFonts w:ascii="Times New Roman" w:hAnsi="Times New Roman" w:cs="Times New Roman"/>
          <w:i/>
          <w:sz w:val="24"/>
          <w:szCs w:val="24"/>
        </w:rPr>
        <w:t>tient compte d’un ensemble d’éléments, tels l’origine légale de l’organisme, sa permanence, le caractère obligatoire de sa juridiction, la nature contradictoire de la procédure, l’application, par l’organisme, des règles de droit, ainsi que son indépendance</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158"/>
      </w:r>
      <w:r w:rsidRPr="00695693">
        <w:rPr>
          <w:rFonts w:ascii="Times New Roman" w:hAnsi="Times New Roman" w:cs="Times New Roman"/>
          <w:sz w:val="24"/>
          <w:szCs w:val="24"/>
        </w:rPr>
        <w:t>.</w:t>
      </w:r>
    </w:p>
    <w:p w:rsidR="008A077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S’agissant de l’objetde la question posée, il importe de signaler que</w:t>
      </w:r>
      <w:r w:rsidR="00FD1251" w:rsidRPr="00695693">
        <w:rPr>
          <w:rFonts w:ascii="Times New Roman" w:hAnsi="Times New Roman" w:cs="Times New Roman"/>
          <w:sz w:val="24"/>
          <w:szCs w:val="24"/>
        </w:rPr>
        <w:t>, comme il a été dit</w:t>
      </w:r>
      <w:r w:rsidR="001C6074" w:rsidRPr="00695693">
        <w:rPr>
          <w:rFonts w:ascii="Times New Roman" w:hAnsi="Times New Roman" w:cs="Times New Roman"/>
          <w:sz w:val="24"/>
          <w:szCs w:val="24"/>
        </w:rPr>
        <w:t xml:space="preserve"> précédemment</w:t>
      </w:r>
      <w:r w:rsidR="00FD1251" w:rsidRPr="00695693">
        <w:rPr>
          <w:rFonts w:ascii="Times New Roman" w:hAnsi="Times New Roman" w:cs="Times New Roman"/>
          <w:sz w:val="24"/>
          <w:szCs w:val="24"/>
        </w:rPr>
        <w:t>,</w:t>
      </w:r>
      <w:r w:rsidRPr="00695693">
        <w:rPr>
          <w:rFonts w:ascii="Times New Roman" w:hAnsi="Times New Roman" w:cs="Times New Roman"/>
          <w:sz w:val="24"/>
          <w:szCs w:val="24"/>
        </w:rPr>
        <w:t xml:space="preserve"> l’objet de la question posée doit nécessairement être soit l’interprétation, soit l’appréciation de validité d’une disposition du droit CEDEAO. Ceci implique que le juge national doit s’abstenir de poser une question sur la compatibilité du droit national avec le droit communautaire CEDEAO</w:t>
      </w:r>
      <w:r w:rsidR="001F012A">
        <w:rPr>
          <w:rStyle w:val="Appelnotedebasdep"/>
          <w:rFonts w:ascii="Times New Roman" w:hAnsi="Times New Roman" w:cs="Times New Roman"/>
          <w:sz w:val="24"/>
          <w:szCs w:val="24"/>
        </w:rPr>
        <w:footnoteReference w:id="159"/>
      </w:r>
      <w:r w:rsidR="00094CB2">
        <w:rPr>
          <w:rFonts w:ascii="Times New Roman" w:hAnsi="Times New Roman" w:cs="Times New Roman"/>
          <w:sz w:val="24"/>
          <w:szCs w:val="24"/>
        </w:rPr>
        <w:t xml:space="preserve">. </w:t>
      </w:r>
      <w:r w:rsidRPr="00695693">
        <w:rPr>
          <w:rFonts w:ascii="Times New Roman" w:hAnsi="Times New Roman" w:cs="Times New Roman"/>
          <w:sz w:val="24"/>
          <w:szCs w:val="24"/>
        </w:rPr>
        <w:t>Cela est d’autant nécessaire puisque </w:t>
      </w:r>
      <w:r w:rsidRPr="001F012A">
        <w:rPr>
          <w:rFonts w:ascii="Times New Roman" w:hAnsi="Times New Roman" w:cs="Times New Roman"/>
          <w:sz w:val="24"/>
          <w:szCs w:val="24"/>
        </w:rPr>
        <w:t>le juge communautaire saisi d’une question préjudicielle n’a aucune compétence pour</w:t>
      </w:r>
      <w:r w:rsidR="001F012A">
        <w:rPr>
          <w:rFonts w:ascii="Times New Roman" w:hAnsi="Times New Roman" w:cs="Times New Roman"/>
          <w:sz w:val="24"/>
          <w:szCs w:val="24"/>
        </w:rPr>
        <w:t xml:space="preserve"> statuer sur </w:t>
      </w:r>
      <w:r w:rsidR="001F012A">
        <w:rPr>
          <w:rFonts w:ascii="Times New Roman" w:hAnsi="Times New Roman" w:cs="Times New Roman"/>
          <w:sz w:val="24"/>
          <w:szCs w:val="24"/>
        </w:rPr>
        <w:lastRenderedPageBreak/>
        <w:t>lesfaits du litige</w:t>
      </w:r>
      <w:r w:rsidR="001F012A">
        <w:rPr>
          <w:rStyle w:val="Appelnotedebasdep"/>
          <w:rFonts w:ascii="Times New Roman" w:hAnsi="Times New Roman" w:cs="Times New Roman"/>
          <w:sz w:val="24"/>
          <w:szCs w:val="24"/>
        </w:rPr>
        <w:footnoteReference w:id="160"/>
      </w:r>
      <w:r w:rsidR="001F012A">
        <w:rPr>
          <w:rFonts w:ascii="Times New Roman" w:hAnsi="Times New Roman" w:cs="Times New Roman"/>
          <w:sz w:val="24"/>
          <w:szCs w:val="24"/>
        </w:rPr>
        <w:t>, ni pour « </w:t>
      </w:r>
      <w:r w:rsidRPr="00695693">
        <w:rPr>
          <w:rFonts w:ascii="Times New Roman" w:hAnsi="Times New Roman" w:cs="Times New Roman"/>
          <w:i/>
          <w:sz w:val="24"/>
          <w:szCs w:val="24"/>
        </w:rPr>
        <w:t>appliquer le droit communautaire au cas d’espèce ou vérifier la conformité d’une disposition de droit interne</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161"/>
      </w:r>
      <w:r w:rsidRPr="00695693">
        <w:rPr>
          <w:rFonts w:ascii="Times New Roman" w:hAnsi="Times New Roman" w:cs="Times New Roman"/>
          <w:sz w:val="24"/>
          <w:szCs w:val="24"/>
        </w:rPr>
        <w:t xml:space="preserve">. </w:t>
      </w:r>
    </w:p>
    <w:p w:rsidR="008A0773" w:rsidRPr="004D6056" w:rsidRDefault="00026431" w:rsidP="00695693">
      <w:pPr>
        <w:spacing w:line="360" w:lineRule="auto"/>
        <w:jc w:val="both"/>
        <w:rPr>
          <w:rFonts w:ascii="Times New Roman" w:hAnsi="Times New Roman" w:cs="Times New Roman"/>
          <w:sz w:val="24"/>
          <w:szCs w:val="24"/>
        </w:rPr>
      </w:pPr>
      <w:r w:rsidRPr="00834886">
        <w:rPr>
          <w:rFonts w:ascii="Times New Roman" w:hAnsi="Times New Roman" w:cs="Times New Roman"/>
          <w:sz w:val="24"/>
          <w:szCs w:val="24"/>
        </w:rPr>
        <w:t xml:space="preserve">Pour ce qui est du contenu de la question posée, il </w:t>
      </w:r>
      <w:r w:rsidR="004A3E38">
        <w:rPr>
          <w:rFonts w:ascii="Times New Roman" w:hAnsi="Times New Roman" w:cs="Times New Roman"/>
          <w:sz w:val="24"/>
          <w:szCs w:val="24"/>
        </w:rPr>
        <w:t xml:space="preserve">convient de retenir que celui-ci </w:t>
      </w:r>
      <w:r w:rsidRPr="00834886">
        <w:rPr>
          <w:rFonts w:ascii="Times New Roman" w:hAnsi="Times New Roman" w:cs="Times New Roman"/>
          <w:sz w:val="24"/>
          <w:szCs w:val="24"/>
        </w:rPr>
        <w:t xml:space="preserve">ne doit pas se limiter à la question elle-même ; mais doit s’étendre à l’ensemble du contenu de la décision de renvoi qui a trait non seulement à </w:t>
      </w:r>
      <w:r w:rsidR="008A0773" w:rsidRPr="00834886">
        <w:rPr>
          <w:rFonts w:ascii="Times New Roman" w:hAnsi="Times New Roman" w:cs="Times New Roman"/>
          <w:sz w:val="24"/>
          <w:szCs w:val="24"/>
        </w:rPr>
        <w:t>la présentation des faits pertinents de l’affaire</w:t>
      </w:r>
      <w:r w:rsidR="008A0773" w:rsidRPr="00834886">
        <w:rPr>
          <w:rStyle w:val="Appelnotedebasdep"/>
          <w:rFonts w:ascii="Times New Roman" w:hAnsi="Times New Roman" w:cs="Times New Roman"/>
          <w:sz w:val="24"/>
          <w:szCs w:val="24"/>
        </w:rPr>
        <w:footnoteReference w:id="162"/>
      </w:r>
      <w:r w:rsidR="008A0773" w:rsidRPr="00834886">
        <w:rPr>
          <w:rFonts w:ascii="Times New Roman" w:hAnsi="Times New Roman" w:cs="Times New Roman"/>
          <w:sz w:val="24"/>
          <w:szCs w:val="24"/>
        </w:rPr>
        <w:t>, mais aussi à la motivation de la décision de renvoi</w:t>
      </w:r>
      <w:r w:rsidR="008A0773" w:rsidRPr="00834886">
        <w:rPr>
          <w:rStyle w:val="Appelnotedebasdep"/>
          <w:rFonts w:ascii="Times New Roman" w:hAnsi="Times New Roman" w:cs="Times New Roman"/>
          <w:sz w:val="24"/>
          <w:szCs w:val="24"/>
        </w:rPr>
        <w:footnoteReference w:id="163"/>
      </w:r>
      <w:r w:rsidR="008A0773" w:rsidRPr="00834886">
        <w:rPr>
          <w:rFonts w:ascii="Times New Roman" w:hAnsi="Times New Roman" w:cs="Times New Roman"/>
          <w:sz w:val="24"/>
          <w:szCs w:val="24"/>
        </w:rPr>
        <w:t xml:space="preserve"> et à la présentation du cadre juridique national dans lequel s’insère la question posée</w:t>
      </w:r>
      <w:r w:rsidR="008A0773" w:rsidRPr="00834886">
        <w:rPr>
          <w:rStyle w:val="Appelnotedebasdep"/>
          <w:rFonts w:ascii="Times New Roman" w:hAnsi="Times New Roman" w:cs="Times New Roman"/>
          <w:sz w:val="24"/>
          <w:szCs w:val="24"/>
        </w:rPr>
        <w:footnoteReference w:id="164"/>
      </w:r>
      <w:r w:rsidR="008A0773" w:rsidRPr="00834886">
        <w:rPr>
          <w:rFonts w:ascii="Times New Roman" w:hAnsi="Times New Roman" w:cs="Times New Roman"/>
          <w:sz w:val="24"/>
          <w:szCs w:val="24"/>
        </w:rPr>
        <w:t xml:space="preserve">. </w:t>
      </w:r>
      <w:r w:rsidR="008A0773" w:rsidRPr="004D6056">
        <w:rPr>
          <w:rFonts w:ascii="Times New Roman" w:hAnsi="Times New Roman" w:cs="Times New Roman"/>
          <w:sz w:val="24"/>
          <w:szCs w:val="24"/>
        </w:rPr>
        <w:t xml:space="preserve">Au titre de la présentation des faits de l’affaire, </w:t>
      </w:r>
      <w:r w:rsidR="00B554D7" w:rsidRPr="004D6056">
        <w:rPr>
          <w:rFonts w:ascii="Times New Roman" w:hAnsi="Times New Roman" w:cs="Times New Roman"/>
          <w:sz w:val="24"/>
          <w:szCs w:val="24"/>
        </w:rPr>
        <w:t>la demande de décision préjudicielle doit contenir un exposé sommaire des faits pertinents tels qu’ils ont été constatés par la juridiction de renvoi ou un exposé des données factuelles sur lesquelles les questions sont fondées</w:t>
      </w:r>
      <w:r w:rsidR="00B554D7" w:rsidRPr="004D6056">
        <w:rPr>
          <w:rStyle w:val="Appelnotedebasdep"/>
          <w:rFonts w:ascii="Times New Roman" w:hAnsi="Times New Roman" w:cs="Times New Roman"/>
          <w:sz w:val="24"/>
          <w:szCs w:val="24"/>
        </w:rPr>
        <w:footnoteReference w:id="165"/>
      </w:r>
      <w:r w:rsidR="00B554D7" w:rsidRPr="004D6056">
        <w:rPr>
          <w:rFonts w:ascii="Times New Roman" w:hAnsi="Times New Roman" w:cs="Times New Roman"/>
          <w:sz w:val="24"/>
          <w:szCs w:val="24"/>
        </w:rPr>
        <w:t>.</w:t>
      </w:r>
      <w:r w:rsidR="005C7124" w:rsidRPr="004D6056">
        <w:rPr>
          <w:rFonts w:ascii="Times New Roman" w:hAnsi="Times New Roman" w:cs="Times New Roman"/>
          <w:sz w:val="24"/>
          <w:szCs w:val="24"/>
        </w:rPr>
        <w:t>Au titre</w:t>
      </w:r>
      <w:r w:rsidR="00160484" w:rsidRPr="004D6056">
        <w:rPr>
          <w:rFonts w:ascii="Times New Roman" w:hAnsi="Times New Roman" w:cs="Times New Roman"/>
          <w:sz w:val="24"/>
          <w:szCs w:val="24"/>
        </w:rPr>
        <w:t xml:space="preserve"> de la motivation de la décision de renvoi, la Cour de justice attend de la juridiction de renvoi un exposé des raisons qui l’ont conduit à s’interroger sur l’interprétation ou la validité des dispositions communautaires en cause, ainsi que le lien qu’elle établit entre ces dispositions et la législation nationale applicable au litige au principal</w:t>
      </w:r>
      <w:r w:rsidR="00160484" w:rsidRPr="004D6056">
        <w:rPr>
          <w:rStyle w:val="Appelnotedebasdep"/>
          <w:rFonts w:ascii="Times New Roman" w:hAnsi="Times New Roman" w:cs="Times New Roman"/>
          <w:sz w:val="24"/>
          <w:szCs w:val="24"/>
        </w:rPr>
        <w:footnoteReference w:id="166"/>
      </w:r>
      <w:r w:rsidR="006951D0" w:rsidRPr="004D6056">
        <w:rPr>
          <w:rFonts w:ascii="Times New Roman" w:hAnsi="Times New Roman" w:cs="Times New Roman"/>
          <w:sz w:val="24"/>
          <w:szCs w:val="24"/>
        </w:rPr>
        <w:t xml:space="preserve">. Autrement dit, le juge de renvoi doit exposer clairement les </w:t>
      </w:r>
      <w:r w:rsidR="00514DE7">
        <w:rPr>
          <w:rFonts w:ascii="Times New Roman" w:hAnsi="Times New Roman" w:cs="Times New Roman"/>
          <w:sz w:val="24"/>
          <w:szCs w:val="24"/>
        </w:rPr>
        <w:t xml:space="preserve">motifs </w:t>
      </w:r>
      <w:r w:rsidR="00AC1B2A">
        <w:rPr>
          <w:rFonts w:ascii="Times New Roman" w:hAnsi="Times New Roman" w:cs="Times New Roman"/>
          <w:sz w:val="24"/>
          <w:szCs w:val="24"/>
        </w:rPr>
        <w:t>pour lesquel</w:t>
      </w:r>
      <w:r w:rsidR="006951D0" w:rsidRPr="004D6056">
        <w:rPr>
          <w:rFonts w:ascii="Times New Roman" w:hAnsi="Times New Roman" w:cs="Times New Roman"/>
          <w:sz w:val="24"/>
          <w:szCs w:val="24"/>
        </w:rPr>
        <w:t xml:space="preserve">s il souhaite s’adresser à </w:t>
      </w:r>
      <w:r w:rsidR="00AC1B2A">
        <w:rPr>
          <w:rFonts w:ascii="Times New Roman" w:hAnsi="Times New Roman" w:cs="Times New Roman"/>
          <w:sz w:val="24"/>
          <w:szCs w:val="24"/>
        </w:rPr>
        <w:t xml:space="preserve">la Cour </w:t>
      </w:r>
      <w:r w:rsidR="006951D0" w:rsidRPr="004D6056">
        <w:rPr>
          <w:rFonts w:ascii="Times New Roman" w:hAnsi="Times New Roman" w:cs="Times New Roman"/>
          <w:sz w:val="24"/>
          <w:szCs w:val="24"/>
        </w:rPr>
        <w:t>pour remédier à la situation gênante qui se prévaut devant lui.  Au titre de la présentation du cadre juridique national</w:t>
      </w:r>
      <w:r w:rsidR="00BB3D6C" w:rsidRPr="004D6056">
        <w:rPr>
          <w:rFonts w:ascii="Times New Roman" w:hAnsi="Times New Roman" w:cs="Times New Roman"/>
          <w:sz w:val="24"/>
          <w:szCs w:val="24"/>
        </w:rPr>
        <w:t xml:space="preserve">, la demande de </w:t>
      </w:r>
      <w:r w:rsidR="004D6056" w:rsidRPr="004D6056">
        <w:rPr>
          <w:rFonts w:ascii="Times New Roman" w:hAnsi="Times New Roman" w:cs="Times New Roman"/>
          <w:sz w:val="24"/>
          <w:szCs w:val="24"/>
        </w:rPr>
        <w:t>décision</w:t>
      </w:r>
      <w:r w:rsidR="00BB3D6C" w:rsidRPr="004D6056">
        <w:rPr>
          <w:rFonts w:ascii="Times New Roman" w:hAnsi="Times New Roman" w:cs="Times New Roman"/>
          <w:sz w:val="24"/>
          <w:szCs w:val="24"/>
        </w:rPr>
        <w:t xml:space="preserve"> préjudicielle doit contenir la teneur des dispositions nationales susceptibles de s’appliquer en l’espèce et, le cas échéant, la jurisprudence nationale pertinente</w:t>
      </w:r>
      <w:r w:rsidR="00BB3D6C" w:rsidRPr="004D6056">
        <w:rPr>
          <w:rStyle w:val="Appelnotedebasdep"/>
          <w:rFonts w:ascii="Times New Roman" w:hAnsi="Times New Roman" w:cs="Times New Roman"/>
          <w:sz w:val="24"/>
          <w:szCs w:val="24"/>
        </w:rPr>
        <w:footnoteReference w:id="167"/>
      </w:r>
      <w:r w:rsidR="004D6056" w:rsidRPr="004D6056">
        <w:rPr>
          <w:rFonts w:ascii="Times New Roman" w:hAnsi="Times New Roman" w:cs="Times New Roman"/>
          <w:sz w:val="24"/>
          <w:szCs w:val="24"/>
        </w:rPr>
        <w:t>.</w:t>
      </w:r>
    </w:p>
    <w:p w:rsidR="00762219" w:rsidRPr="00695693" w:rsidRDefault="00287AEA"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Cependant, il y a lieu de retenir que</w:t>
      </w:r>
      <w:r w:rsidR="006E41BE" w:rsidRPr="00695693">
        <w:rPr>
          <w:rFonts w:ascii="Times New Roman" w:hAnsi="Times New Roman" w:cs="Times New Roman"/>
          <w:sz w:val="24"/>
          <w:szCs w:val="24"/>
        </w:rPr>
        <w:t xml:space="preserve"> la </w:t>
      </w:r>
      <w:r w:rsidR="000B0375" w:rsidRPr="00695693">
        <w:rPr>
          <w:rFonts w:ascii="Times New Roman" w:hAnsi="Times New Roman" w:cs="Times New Roman"/>
          <w:sz w:val="24"/>
          <w:szCs w:val="24"/>
        </w:rPr>
        <w:t>prise en charge de la question nationale par la C</w:t>
      </w:r>
      <w:r w:rsidR="006E41BE" w:rsidRPr="00695693">
        <w:rPr>
          <w:rFonts w:ascii="Times New Roman" w:hAnsi="Times New Roman" w:cs="Times New Roman"/>
          <w:sz w:val="24"/>
          <w:szCs w:val="24"/>
        </w:rPr>
        <w:t>our de j</w:t>
      </w:r>
      <w:r w:rsidR="00694424" w:rsidRPr="00695693">
        <w:rPr>
          <w:rFonts w:ascii="Times New Roman" w:hAnsi="Times New Roman" w:cs="Times New Roman"/>
          <w:sz w:val="24"/>
          <w:szCs w:val="24"/>
        </w:rPr>
        <w:t>ustice de la Communauté</w:t>
      </w:r>
      <w:r w:rsidR="000B0375" w:rsidRPr="00695693">
        <w:rPr>
          <w:rFonts w:ascii="Times New Roman" w:hAnsi="Times New Roman" w:cs="Times New Roman"/>
          <w:sz w:val="24"/>
          <w:szCs w:val="24"/>
        </w:rPr>
        <w:t xml:space="preserve"> est subordonnée </w:t>
      </w:r>
      <w:r w:rsidR="003D559D">
        <w:rPr>
          <w:rFonts w:ascii="Times New Roman" w:hAnsi="Times New Roman" w:cs="Times New Roman"/>
          <w:sz w:val="24"/>
          <w:szCs w:val="24"/>
        </w:rPr>
        <w:t xml:space="preserve">aussi </w:t>
      </w:r>
      <w:r w:rsidR="005C2222">
        <w:rPr>
          <w:rFonts w:ascii="Times New Roman" w:hAnsi="Times New Roman" w:cs="Times New Roman"/>
          <w:sz w:val="24"/>
          <w:szCs w:val="24"/>
        </w:rPr>
        <w:t xml:space="preserve">à </w:t>
      </w:r>
      <w:r w:rsidR="000B0375" w:rsidRPr="00695693">
        <w:rPr>
          <w:rFonts w:ascii="Times New Roman" w:hAnsi="Times New Roman" w:cs="Times New Roman"/>
          <w:sz w:val="24"/>
          <w:szCs w:val="24"/>
        </w:rPr>
        <w:t>l’exigence du lien entre la question et le litige au principal</w:t>
      </w:r>
      <w:r w:rsidR="00694424" w:rsidRPr="00695693">
        <w:rPr>
          <w:rFonts w:ascii="Times New Roman" w:hAnsi="Times New Roman" w:cs="Times New Roman"/>
          <w:sz w:val="24"/>
          <w:szCs w:val="24"/>
        </w:rPr>
        <w:t>.</w:t>
      </w:r>
    </w:p>
    <w:p w:rsidR="00694424" w:rsidRPr="00802E04" w:rsidRDefault="00694424" w:rsidP="0037430F">
      <w:pPr>
        <w:pStyle w:val="Titre5"/>
      </w:pPr>
      <w:bookmarkStart w:id="49" w:name="_Toc518672800"/>
      <w:r w:rsidRPr="00802E04">
        <w:lastRenderedPageBreak/>
        <w:t>B. L’exigence du lien entre la question et le litige au principal</w:t>
      </w:r>
      <w:bookmarkEnd w:id="49"/>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Deuxième condition de re</w:t>
      </w:r>
      <w:r w:rsidR="008D489D">
        <w:rPr>
          <w:rFonts w:ascii="Times New Roman" w:hAnsi="Times New Roman" w:cs="Times New Roman"/>
          <w:sz w:val="24"/>
          <w:szCs w:val="24"/>
        </w:rPr>
        <w:t>cevabilité en matière du renvoi</w:t>
      </w:r>
      <w:r w:rsidRPr="00695693">
        <w:rPr>
          <w:rFonts w:ascii="Times New Roman" w:hAnsi="Times New Roman" w:cs="Times New Roman"/>
          <w:sz w:val="24"/>
          <w:szCs w:val="24"/>
        </w:rPr>
        <w:t xml:space="preserve"> préjudiciel, l’exigence du lien entre la question posée et le litige au principal suppose que la question doit être soulevée dans le cadre d’un litige réel et non artificiel</w:t>
      </w:r>
      <w:r w:rsidR="009E2CC7">
        <w:rPr>
          <w:rStyle w:val="Appelnotedebasdep"/>
          <w:rFonts w:ascii="Times New Roman" w:hAnsi="Times New Roman" w:cs="Times New Roman"/>
          <w:sz w:val="24"/>
          <w:szCs w:val="24"/>
        </w:rPr>
        <w:footnoteReference w:id="168"/>
      </w:r>
      <w:r w:rsidRPr="00695693">
        <w:rPr>
          <w:rFonts w:ascii="Times New Roman" w:hAnsi="Times New Roman" w:cs="Times New Roman"/>
          <w:sz w:val="24"/>
          <w:szCs w:val="24"/>
        </w:rPr>
        <w:t xml:space="preserve">. </w:t>
      </w:r>
      <w:r w:rsidR="00B44C6B">
        <w:rPr>
          <w:rFonts w:ascii="Times New Roman" w:hAnsi="Times New Roman" w:cs="Times New Roman"/>
          <w:sz w:val="24"/>
          <w:szCs w:val="24"/>
        </w:rPr>
        <w:t xml:space="preserve">Autrement dit, la question doit manifestement présenter un </w:t>
      </w:r>
      <w:r w:rsidR="00412269">
        <w:rPr>
          <w:rFonts w:ascii="Times New Roman" w:hAnsi="Times New Roman" w:cs="Times New Roman"/>
          <w:sz w:val="24"/>
          <w:szCs w:val="24"/>
        </w:rPr>
        <w:t>rapport corrélatif avec la réalité du</w:t>
      </w:r>
      <w:r w:rsidR="00B44C6B">
        <w:rPr>
          <w:rFonts w:ascii="Times New Roman" w:hAnsi="Times New Roman" w:cs="Times New Roman"/>
          <w:sz w:val="24"/>
          <w:szCs w:val="24"/>
        </w:rPr>
        <w:t xml:space="preserve"> litige au fond</w:t>
      </w:r>
      <w:r w:rsidR="00B44C6B">
        <w:rPr>
          <w:rStyle w:val="Appelnotedebasdep"/>
          <w:rFonts w:ascii="Times New Roman" w:hAnsi="Times New Roman" w:cs="Times New Roman"/>
          <w:sz w:val="24"/>
          <w:szCs w:val="24"/>
        </w:rPr>
        <w:footnoteReference w:id="169"/>
      </w:r>
      <w:r w:rsidR="00AD1B5F">
        <w:rPr>
          <w:rFonts w:ascii="Times New Roman" w:hAnsi="Times New Roman" w:cs="Times New Roman"/>
          <w:sz w:val="24"/>
          <w:szCs w:val="24"/>
        </w:rPr>
        <w:t xml:space="preserve">. </w:t>
      </w:r>
      <w:r w:rsidR="006005DA">
        <w:rPr>
          <w:rFonts w:ascii="Times New Roman" w:hAnsi="Times New Roman" w:cs="Times New Roman"/>
          <w:sz w:val="24"/>
          <w:szCs w:val="24"/>
        </w:rPr>
        <w:t>Elle ne se conçoit que si elle présente un lien avec le procès principal, et ne sera posée que parce que de sa résolution dépendra l’issue du procès principal</w:t>
      </w:r>
      <w:r w:rsidR="006005DA">
        <w:rPr>
          <w:rStyle w:val="Appelnotedebasdep"/>
          <w:rFonts w:ascii="Times New Roman" w:hAnsi="Times New Roman" w:cs="Times New Roman"/>
          <w:sz w:val="24"/>
          <w:szCs w:val="24"/>
        </w:rPr>
        <w:footnoteReference w:id="170"/>
      </w:r>
      <w:r w:rsidR="000E0294" w:rsidRPr="00695693">
        <w:rPr>
          <w:rFonts w:ascii="Times New Roman" w:hAnsi="Times New Roman" w:cs="Times New Roman"/>
          <w:sz w:val="24"/>
          <w:szCs w:val="24"/>
        </w:rPr>
        <w:t xml:space="preserve">. </w:t>
      </w:r>
      <w:r w:rsidR="0054666A">
        <w:rPr>
          <w:rFonts w:ascii="Times New Roman" w:hAnsi="Times New Roman" w:cs="Times New Roman"/>
          <w:sz w:val="24"/>
          <w:szCs w:val="24"/>
        </w:rPr>
        <w:t xml:space="preserve">En l’absence d’un tel lien, la Cour déclarera la question irrecevable. Cette déclaration d’irrecevabilité pourrait se justifier par l’absence d’utilité </w:t>
      </w:r>
      <w:r w:rsidR="0054666A" w:rsidRPr="0054666A">
        <w:rPr>
          <w:rFonts w:ascii="Times New Roman" w:hAnsi="Times New Roman" w:cs="Times New Roman"/>
          <w:sz w:val="24"/>
          <w:szCs w:val="24"/>
        </w:rPr>
        <w:t>de la réponse de la Cour pour la résolution du litige au principal</w:t>
      </w:r>
      <w:r w:rsidR="0054666A">
        <w:rPr>
          <w:rStyle w:val="Appelnotedebasdep"/>
          <w:rFonts w:ascii="Times New Roman" w:hAnsi="Times New Roman" w:cs="Times New Roman"/>
          <w:sz w:val="24"/>
          <w:szCs w:val="24"/>
        </w:rPr>
        <w:footnoteReference w:id="171"/>
      </w:r>
      <w:r w:rsidR="00230260">
        <w:rPr>
          <w:rFonts w:ascii="Times New Roman" w:hAnsi="Times New Roman" w:cs="Times New Roman"/>
          <w:sz w:val="24"/>
          <w:szCs w:val="24"/>
        </w:rPr>
        <w:t xml:space="preserve">. </w:t>
      </w:r>
      <w:r w:rsidRPr="00695693">
        <w:rPr>
          <w:rFonts w:ascii="Times New Roman" w:hAnsi="Times New Roman" w:cs="Times New Roman"/>
          <w:sz w:val="24"/>
          <w:szCs w:val="24"/>
        </w:rPr>
        <w:t>Dégagé par la jurisprudence européenne</w:t>
      </w:r>
      <w:r w:rsidRPr="00695693">
        <w:rPr>
          <w:rStyle w:val="Appelnotedebasdep"/>
          <w:rFonts w:ascii="Times New Roman" w:hAnsi="Times New Roman" w:cs="Times New Roman"/>
          <w:sz w:val="24"/>
          <w:szCs w:val="24"/>
        </w:rPr>
        <w:footnoteReference w:id="172"/>
      </w:r>
      <w:r w:rsidRPr="00695693">
        <w:rPr>
          <w:rFonts w:ascii="Times New Roman" w:hAnsi="Times New Roman" w:cs="Times New Roman"/>
          <w:sz w:val="24"/>
          <w:szCs w:val="24"/>
        </w:rPr>
        <w:t>, le critère de l’exigence d’un lien étroit entre la question posée et le litige au principal peut être transposé dans le système CEDEAO et appliqué, en conséquence, par le juge CEDEAO en matière préjudiciel</w:t>
      </w:r>
      <w:r w:rsidR="001933BD">
        <w:rPr>
          <w:rFonts w:ascii="Times New Roman" w:hAnsi="Times New Roman" w:cs="Times New Roman"/>
          <w:sz w:val="24"/>
          <w:szCs w:val="24"/>
        </w:rPr>
        <w:t>le</w:t>
      </w:r>
      <w:r w:rsidRPr="00695693">
        <w:rPr>
          <w:rFonts w:ascii="Times New Roman" w:hAnsi="Times New Roman" w:cs="Times New Roman"/>
          <w:sz w:val="24"/>
          <w:szCs w:val="24"/>
        </w:rPr>
        <w:t xml:space="preserve">. Cette transposition </w:t>
      </w:r>
      <w:r w:rsidR="00352173">
        <w:rPr>
          <w:rFonts w:ascii="Times New Roman" w:hAnsi="Times New Roman" w:cs="Times New Roman"/>
          <w:sz w:val="24"/>
          <w:szCs w:val="24"/>
        </w:rPr>
        <w:t xml:space="preserve">aurait pu </w:t>
      </w:r>
      <w:r w:rsidRPr="00695693">
        <w:rPr>
          <w:rFonts w:ascii="Times New Roman" w:hAnsi="Times New Roman" w:cs="Times New Roman"/>
          <w:sz w:val="24"/>
          <w:szCs w:val="24"/>
        </w:rPr>
        <w:t>permettre à la Cour de justice de la Communauté CEDEAO de ne pas perdre son temps à s</w:t>
      </w:r>
      <w:r w:rsidR="00107ABF">
        <w:rPr>
          <w:rFonts w:ascii="Times New Roman" w:hAnsi="Times New Roman" w:cs="Times New Roman"/>
          <w:sz w:val="24"/>
          <w:szCs w:val="24"/>
        </w:rPr>
        <w:t xml:space="preserve">tatuer sur des litiges inutiles, c’est-à-dire ne répondant pas </w:t>
      </w:r>
      <w:r w:rsidR="00352173">
        <w:rPr>
          <w:rFonts w:ascii="Times New Roman" w:hAnsi="Times New Roman" w:cs="Times New Roman"/>
          <w:sz w:val="24"/>
          <w:szCs w:val="24"/>
        </w:rPr>
        <w:t>au mécanisme du</w:t>
      </w:r>
      <w:r w:rsidRPr="00695693">
        <w:rPr>
          <w:rFonts w:ascii="Times New Roman" w:hAnsi="Times New Roman" w:cs="Times New Roman"/>
          <w:sz w:val="24"/>
          <w:szCs w:val="24"/>
        </w:rPr>
        <w:t xml:space="preserve"> renvoi préjudiciel.</w:t>
      </w:r>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Dans le système </w:t>
      </w:r>
      <w:r w:rsidR="000A33B1">
        <w:rPr>
          <w:rFonts w:ascii="Times New Roman" w:hAnsi="Times New Roman" w:cs="Times New Roman"/>
          <w:sz w:val="24"/>
          <w:szCs w:val="24"/>
        </w:rPr>
        <w:t xml:space="preserve">communautaire </w:t>
      </w:r>
      <w:r w:rsidRPr="00695693">
        <w:rPr>
          <w:rFonts w:ascii="Times New Roman" w:hAnsi="Times New Roman" w:cs="Times New Roman"/>
          <w:sz w:val="24"/>
          <w:szCs w:val="24"/>
        </w:rPr>
        <w:t xml:space="preserve">de l’Union européenne, ce critère a reçu une application effective puisqu’il a été mis en œuvre par la CJCE dans plusieurs affaires. </w:t>
      </w:r>
      <w:r w:rsidR="009861F8">
        <w:rPr>
          <w:rFonts w:ascii="Times New Roman" w:hAnsi="Times New Roman" w:cs="Times New Roman"/>
          <w:sz w:val="24"/>
          <w:szCs w:val="24"/>
        </w:rPr>
        <w:t xml:space="preserve">Il en a été ainsi dans l’arrêt </w:t>
      </w:r>
      <w:r w:rsidR="009861F8" w:rsidRPr="000C5E4B">
        <w:rPr>
          <w:rFonts w:ascii="Times New Roman" w:hAnsi="Times New Roman" w:cs="Times New Roman"/>
          <w:i/>
          <w:sz w:val="24"/>
          <w:szCs w:val="24"/>
        </w:rPr>
        <w:t>Salonia</w:t>
      </w:r>
      <w:r w:rsidR="009861F8">
        <w:rPr>
          <w:rFonts w:ascii="Times New Roman" w:hAnsi="Times New Roman" w:cs="Times New Roman"/>
          <w:sz w:val="24"/>
          <w:szCs w:val="24"/>
        </w:rPr>
        <w:t xml:space="preserve"> du 16 juin 1981 où la Cour de justice a péremptoirement affirmé que « </w:t>
      </w:r>
      <w:r w:rsidR="009861F8" w:rsidRPr="00B84308">
        <w:rPr>
          <w:rFonts w:ascii="Times New Roman" w:hAnsi="Times New Roman" w:cs="Times New Roman"/>
          <w:i/>
          <w:sz w:val="24"/>
          <w:szCs w:val="24"/>
        </w:rPr>
        <w:t>le rejet d’une demande formée par une juridiction nationale n’est possible que s’il apparaissait de manière manifeste que l’interprétation de droit communautaire demandée par cette juridiction n’a aucun rapport avec la réalité ou l’objet du litige principal </w:t>
      </w:r>
      <w:r w:rsidR="009861F8">
        <w:rPr>
          <w:rFonts w:ascii="Times New Roman" w:hAnsi="Times New Roman" w:cs="Times New Roman"/>
          <w:sz w:val="24"/>
          <w:szCs w:val="24"/>
        </w:rPr>
        <w:t>»</w:t>
      </w:r>
      <w:r w:rsidR="009861F8">
        <w:rPr>
          <w:rStyle w:val="Appelnotedebasdep"/>
          <w:rFonts w:ascii="Times New Roman" w:hAnsi="Times New Roman" w:cs="Times New Roman"/>
          <w:sz w:val="24"/>
          <w:szCs w:val="24"/>
        </w:rPr>
        <w:footnoteReference w:id="173"/>
      </w:r>
      <w:r w:rsidR="002730C6">
        <w:rPr>
          <w:rFonts w:ascii="Times New Roman" w:hAnsi="Times New Roman" w:cs="Times New Roman"/>
          <w:sz w:val="24"/>
          <w:szCs w:val="24"/>
        </w:rPr>
        <w:t>.</w:t>
      </w:r>
      <w:r w:rsidR="002730C6" w:rsidRPr="002730C6">
        <w:rPr>
          <w:rFonts w:ascii="Times New Roman" w:hAnsi="Times New Roman" w:cs="Times New Roman"/>
          <w:sz w:val="24"/>
          <w:szCs w:val="24"/>
        </w:rPr>
        <w:t xml:space="preserve">Dans une autre affaire, la Cour de justice </w:t>
      </w:r>
      <w:r w:rsidRPr="002730C6">
        <w:rPr>
          <w:rFonts w:ascii="Times New Roman" w:hAnsi="Times New Roman" w:cs="Times New Roman"/>
          <w:sz w:val="24"/>
          <w:szCs w:val="24"/>
        </w:rPr>
        <w:t>« </w:t>
      </w:r>
      <w:r w:rsidRPr="002730C6">
        <w:rPr>
          <w:rFonts w:ascii="Times New Roman" w:hAnsi="Times New Roman" w:cs="Times New Roman"/>
          <w:i/>
          <w:sz w:val="24"/>
          <w:szCs w:val="24"/>
        </w:rPr>
        <w:t xml:space="preserve">a jugé ne pas pouvoir statuer sur une question préjudicielle soulevée devant une juridiction nationale lorsque l’interprétation du droit communautaire </w:t>
      </w:r>
      <w:r w:rsidRPr="002730C6">
        <w:rPr>
          <w:rFonts w:ascii="Times New Roman" w:hAnsi="Times New Roman" w:cs="Times New Roman"/>
          <w:i/>
          <w:sz w:val="24"/>
          <w:szCs w:val="24"/>
        </w:rPr>
        <w:lastRenderedPageBreak/>
        <w:t>n’avait aucun rapport avec la réalité ou l’objet du litige au principal</w:t>
      </w:r>
      <w:r w:rsidRPr="002730C6">
        <w:rPr>
          <w:rFonts w:ascii="Times New Roman" w:hAnsi="Times New Roman" w:cs="Times New Roman"/>
          <w:sz w:val="24"/>
          <w:szCs w:val="24"/>
        </w:rPr>
        <w:t> »</w:t>
      </w:r>
      <w:r w:rsidRPr="002730C6">
        <w:rPr>
          <w:rStyle w:val="Appelnotedebasdep"/>
          <w:rFonts w:ascii="Times New Roman" w:hAnsi="Times New Roman" w:cs="Times New Roman"/>
          <w:sz w:val="24"/>
          <w:szCs w:val="24"/>
        </w:rPr>
        <w:footnoteReference w:id="174"/>
      </w:r>
      <w:r w:rsidRPr="002730C6">
        <w:rPr>
          <w:rFonts w:ascii="Times New Roman" w:hAnsi="Times New Roman" w:cs="Times New Roman"/>
          <w:sz w:val="24"/>
          <w:szCs w:val="24"/>
        </w:rPr>
        <w:t xml:space="preserve">. Une année après, la CJCE a confirmé sa décision dans l’affaire </w:t>
      </w:r>
      <w:r w:rsidRPr="002730C6">
        <w:rPr>
          <w:rFonts w:ascii="Times New Roman" w:hAnsi="Times New Roman" w:cs="Times New Roman"/>
          <w:i/>
          <w:sz w:val="24"/>
          <w:szCs w:val="24"/>
        </w:rPr>
        <w:t>Société d’importation Edouard Leclerc-Siplec</w:t>
      </w:r>
      <w:r w:rsidR="00765A1D">
        <w:rPr>
          <w:rFonts w:ascii="Times New Roman" w:hAnsi="Times New Roman" w:cs="Times New Roman"/>
          <w:sz w:val="24"/>
          <w:szCs w:val="24"/>
        </w:rPr>
        <w:t xml:space="preserve"> où elle soulignait que</w:t>
      </w:r>
      <w:r w:rsidRPr="002730C6">
        <w:rPr>
          <w:rFonts w:ascii="Times New Roman" w:hAnsi="Times New Roman" w:cs="Times New Roman"/>
          <w:sz w:val="24"/>
          <w:szCs w:val="24"/>
        </w:rPr>
        <w:t xml:space="preserve"> « </w:t>
      </w:r>
      <w:r w:rsidRPr="002730C6">
        <w:rPr>
          <w:rFonts w:ascii="Times New Roman" w:hAnsi="Times New Roman" w:cs="Times New Roman"/>
          <w:i/>
          <w:sz w:val="24"/>
          <w:szCs w:val="24"/>
        </w:rPr>
        <w:t>C’est en considération de cette mission que la Cour a estimé ne pas pouvoir statuer sur une question préjudicielle soulevée devant une juridiction nationale, lorsque l’interprétation du droit communautaire n’a aucun rapport avec la réalité ou l’objet du litige au principal</w:t>
      </w:r>
      <w:r w:rsidRPr="002730C6">
        <w:rPr>
          <w:rFonts w:ascii="Times New Roman" w:hAnsi="Times New Roman" w:cs="Times New Roman"/>
          <w:sz w:val="24"/>
          <w:szCs w:val="24"/>
        </w:rPr>
        <w:t> </w:t>
      </w:r>
      <w:r w:rsidRPr="00695693">
        <w:rPr>
          <w:rFonts w:ascii="Times New Roman" w:hAnsi="Times New Roman" w:cs="Times New Roman"/>
          <w:sz w:val="24"/>
          <w:szCs w:val="24"/>
        </w:rPr>
        <w:t>»</w:t>
      </w:r>
      <w:r w:rsidRPr="00695693">
        <w:rPr>
          <w:rStyle w:val="Appelnotedebasdep"/>
          <w:rFonts w:ascii="Times New Roman" w:hAnsi="Times New Roman" w:cs="Times New Roman"/>
          <w:sz w:val="24"/>
          <w:szCs w:val="24"/>
        </w:rPr>
        <w:footnoteReference w:id="175"/>
      </w:r>
      <w:r w:rsidR="00A97B65" w:rsidRPr="00695693">
        <w:rPr>
          <w:rFonts w:ascii="Times New Roman" w:hAnsi="Times New Roman" w:cs="Times New Roman"/>
          <w:sz w:val="24"/>
          <w:szCs w:val="24"/>
        </w:rPr>
        <w:t>.</w:t>
      </w:r>
      <w:r w:rsidRPr="00695693">
        <w:rPr>
          <w:rFonts w:ascii="Times New Roman" w:hAnsi="Times New Roman" w:cs="Times New Roman"/>
          <w:sz w:val="24"/>
          <w:szCs w:val="24"/>
        </w:rPr>
        <w:t xml:space="preserve">De toute façon, on efforcera de retenir que </w:t>
      </w:r>
      <w:r w:rsidR="0027170C" w:rsidRPr="00695693">
        <w:rPr>
          <w:rFonts w:ascii="Times New Roman" w:hAnsi="Times New Roman" w:cs="Times New Roman"/>
          <w:sz w:val="24"/>
          <w:szCs w:val="24"/>
        </w:rPr>
        <w:t xml:space="preserve">ce n’est qu’à </w:t>
      </w:r>
      <w:r w:rsidR="00362A94" w:rsidRPr="00695693">
        <w:rPr>
          <w:rFonts w:ascii="Times New Roman" w:hAnsi="Times New Roman" w:cs="Times New Roman"/>
          <w:sz w:val="24"/>
          <w:szCs w:val="24"/>
        </w:rPr>
        <w:t>la réunion de</w:t>
      </w:r>
      <w:r w:rsidR="0027170C" w:rsidRPr="00695693">
        <w:rPr>
          <w:rFonts w:ascii="Times New Roman" w:hAnsi="Times New Roman" w:cs="Times New Roman"/>
          <w:sz w:val="24"/>
          <w:szCs w:val="24"/>
        </w:rPr>
        <w:t xml:space="preserve"> toutes c</w:t>
      </w:r>
      <w:r w:rsidRPr="00695693">
        <w:rPr>
          <w:rFonts w:ascii="Times New Roman" w:hAnsi="Times New Roman" w:cs="Times New Roman"/>
          <w:sz w:val="24"/>
          <w:szCs w:val="24"/>
        </w:rPr>
        <w:t xml:space="preserve">es conditions </w:t>
      </w:r>
      <w:r w:rsidR="0027170C" w:rsidRPr="00695693">
        <w:rPr>
          <w:rFonts w:ascii="Times New Roman" w:hAnsi="Times New Roman" w:cs="Times New Roman"/>
          <w:sz w:val="24"/>
          <w:szCs w:val="24"/>
        </w:rPr>
        <w:t>que l’instance préjudicielle pourrait être mise en œuvre.</w:t>
      </w:r>
    </w:p>
    <w:p w:rsidR="00694424" w:rsidRPr="00695693" w:rsidRDefault="00694424" w:rsidP="007A4443">
      <w:pPr>
        <w:pStyle w:val="Titre3"/>
      </w:pPr>
      <w:bookmarkStart w:id="50" w:name="_Toc515108228"/>
      <w:bookmarkStart w:id="51" w:name="_Toc518671709"/>
      <w:bookmarkStart w:id="52" w:name="_Toc518672801"/>
      <w:r w:rsidRPr="00695693">
        <w:t>SECTION</w:t>
      </w:r>
      <w:r w:rsidR="007C576C" w:rsidRPr="00695693">
        <w:t xml:space="preserve"> II</w:t>
      </w:r>
      <w:r w:rsidRPr="00695693">
        <w:t xml:space="preserve"> : </w:t>
      </w:r>
      <w:r w:rsidR="0027170C" w:rsidRPr="00695693">
        <w:t>LA MISE EN ŒUVRE DE L’</w:t>
      </w:r>
      <w:r w:rsidR="00966394" w:rsidRPr="00695693">
        <w:t>INSTANCE PRE</w:t>
      </w:r>
      <w:r w:rsidR="0027170C" w:rsidRPr="00695693">
        <w:t>JUDICIELLE</w:t>
      </w:r>
      <w:bookmarkEnd w:id="50"/>
      <w:bookmarkEnd w:id="51"/>
      <w:bookmarkEnd w:id="52"/>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Une fois les conditions examinées ci-dessus réunies, l’instance préjudicielle </w:t>
      </w:r>
      <w:r w:rsidR="008A6EAC" w:rsidRPr="00695693">
        <w:rPr>
          <w:rFonts w:ascii="Times New Roman" w:hAnsi="Times New Roman" w:cs="Times New Roman"/>
          <w:sz w:val="24"/>
          <w:szCs w:val="24"/>
        </w:rPr>
        <w:t xml:space="preserve">pourrait être mise en œuvre. Cette mise en œuvre débute avec le déroulement </w:t>
      </w:r>
      <w:r w:rsidR="003F69D6" w:rsidRPr="00695693">
        <w:rPr>
          <w:rFonts w:ascii="Times New Roman" w:hAnsi="Times New Roman" w:cs="Times New Roman"/>
          <w:sz w:val="24"/>
          <w:szCs w:val="24"/>
        </w:rPr>
        <w:t xml:space="preserve">même </w:t>
      </w:r>
      <w:r w:rsidR="008A6EAC" w:rsidRPr="00695693">
        <w:rPr>
          <w:rFonts w:ascii="Times New Roman" w:hAnsi="Times New Roman" w:cs="Times New Roman"/>
          <w:sz w:val="24"/>
          <w:szCs w:val="24"/>
        </w:rPr>
        <w:t xml:space="preserve">de l’instance préjudicielle </w:t>
      </w:r>
      <w:r w:rsidR="00410A54" w:rsidRPr="00817CB8">
        <w:rPr>
          <w:rFonts w:ascii="Times New Roman" w:hAnsi="Times New Roman" w:cs="Times New Roman"/>
          <w:b/>
          <w:sz w:val="24"/>
          <w:szCs w:val="24"/>
        </w:rPr>
        <w:t>(</w:t>
      </w:r>
      <w:r w:rsidR="007C576C" w:rsidRPr="00817CB8">
        <w:rPr>
          <w:rFonts w:ascii="Times New Roman" w:hAnsi="Times New Roman" w:cs="Times New Roman"/>
          <w:b/>
          <w:sz w:val="24"/>
          <w:szCs w:val="24"/>
        </w:rPr>
        <w:t>§ 1</w:t>
      </w:r>
      <w:r w:rsidR="00410A54" w:rsidRPr="00817CB8">
        <w:rPr>
          <w:rFonts w:ascii="Times New Roman" w:hAnsi="Times New Roman" w:cs="Times New Roman"/>
          <w:b/>
          <w:sz w:val="24"/>
          <w:szCs w:val="24"/>
        </w:rPr>
        <w:t>)</w:t>
      </w:r>
      <w:r w:rsidR="00313EB7">
        <w:rPr>
          <w:rFonts w:ascii="Times New Roman" w:hAnsi="Times New Roman" w:cs="Times New Roman"/>
          <w:sz w:val="24"/>
          <w:szCs w:val="24"/>
        </w:rPr>
        <w:t xml:space="preserve">,jusqu’au prononcé de l’arrêt préjudiciel </w:t>
      </w:r>
      <w:r w:rsidR="008A6EAC" w:rsidRPr="00695693">
        <w:rPr>
          <w:rFonts w:ascii="Times New Roman" w:hAnsi="Times New Roman" w:cs="Times New Roman"/>
          <w:sz w:val="24"/>
          <w:szCs w:val="24"/>
        </w:rPr>
        <w:t>et prend fin avec les effets de</w:t>
      </w:r>
      <w:r w:rsidR="00313EB7">
        <w:rPr>
          <w:rFonts w:ascii="Times New Roman" w:hAnsi="Times New Roman" w:cs="Times New Roman"/>
          <w:sz w:val="24"/>
          <w:szCs w:val="24"/>
        </w:rPr>
        <w:t xml:space="preserve"> ce dernier</w:t>
      </w:r>
      <w:r w:rsidR="00410A54" w:rsidRPr="00817CB8">
        <w:rPr>
          <w:rFonts w:ascii="Times New Roman" w:hAnsi="Times New Roman" w:cs="Times New Roman"/>
          <w:b/>
          <w:sz w:val="24"/>
          <w:szCs w:val="24"/>
        </w:rPr>
        <w:t>(</w:t>
      </w:r>
      <w:r w:rsidR="007C576C" w:rsidRPr="00817CB8">
        <w:rPr>
          <w:rFonts w:ascii="Times New Roman" w:hAnsi="Times New Roman" w:cs="Times New Roman"/>
          <w:b/>
          <w:sz w:val="24"/>
          <w:szCs w:val="24"/>
        </w:rPr>
        <w:t>§ 2</w:t>
      </w:r>
      <w:r w:rsidR="00410A54" w:rsidRPr="00817CB8">
        <w:rPr>
          <w:rFonts w:ascii="Times New Roman" w:hAnsi="Times New Roman" w:cs="Times New Roman"/>
          <w:b/>
          <w:sz w:val="24"/>
          <w:szCs w:val="24"/>
        </w:rPr>
        <w:t>)</w:t>
      </w:r>
      <w:r w:rsidR="00410A54" w:rsidRPr="00695693">
        <w:rPr>
          <w:rFonts w:ascii="Times New Roman" w:hAnsi="Times New Roman" w:cs="Times New Roman"/>
          <w:sz w:val="24"/>
          <w:szCs w:val="24"/>
        </w:rPr>
        <w:t>.</w:t>
      </w:r>
    </w:p>
    <w:p w:rsidR="00694424" w:rsidRPr="00802E04" w:rsidRDefault="007C576C" w:rsidP="002F7CA3">
      <w:pPr>
        <w:pStyle w:val="Titre4"/>
      </w:pPr>
      <w:bookmarkStart w:id="53" w:name="_Toc518672802"/>
      <w:r w:rsidRPr="00802E04">
        <w:t>§ 1</w:t>
      </w:r>
      <w:r w:rsidR="00694424" w:rsidRPr="00802E04">
        <w:t> : L</w:t>
      </w:r>
      <w:r w:rsidR="008A6EAC" w:rsidRPr="00802E04">
        <w:t>e déroulement de l’instance préjudicielle</w:t>
      </w:r>
      <w:bookmarkEnd w:id="53"/>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De prime à bord, il convient de rappeler que le juge national reste et demeure l’autorité en charge de l’exercice du renvoi préjudiciel. </w:t>
      </w:r>
      <w:r w:rsidR="008A4F18" w:rsidRPr="00695693">
        <w:rPr>
          <w:rFonts w:ascii="Times New Roman" w:hAnsi="Times New Roman" w:cs="Times New Roman"/>
          <w:sz w:val="24"/>
          <w:szCs w:val="24"/>
        </w:rPr>
        <w:t>Il reste alors le maitre de la décision de renvoi</w:t>
      </w:r>
      <w:r w:rsidR="008A4F18" w:rsidRPr="00695693">
        <w:rPr>
          <w:rStyle w:val="Appelnotedebasdep"/>
          <w:rFonts w:ascii="Times New Roman" w:hAnsi="Times New Roman" w:cs="Times New Roman"/>
          <w:sz w:val="24"/>
          <w:szCs w:val="24"/>
        </w:rPr>
        <w:footnoteReference w:id="176"/>
      </w:r>
      <w:r w:rsidR="008B4966" w:rsidRPr="00695693">
        <w:rPr>
          <w:rFonts w:ascii="Times New Roman" w:hAnsi="Times New Roman" w:cs="Times New Roman"/>
          <w:sz w:val="24"/>
          <w:szCs w:val="24"/>
        </w:rPr>
        <w:t xml:space="preserve">. </w:t>
      </w:r>
      <w:r w:rsidR="001927AD" w:rsidRPr="00695693">
        <w:rPr>
          <w:rFonts w:ascii="Times New Roman" w:hAnsi="Times New Roman" w:cs="Times New Roman"/>
          <w:sz w:val="24"/>
          <w:szCs w:val="24"/>
        </w:rPr>
        <w:t>L</w:t>
      </w:r>
      <w:r w:rsidRPr="00695693">
        <w:rPr>
          <w:rFonts w:ascii="Times New Roman" w:hAnsi="Times New Roman" w:cs="Times New Roman"/>
          <w:sz w:val="24"/>
          <w:szCs w:val="24"/>
        </w:rPr>
        <w:t>a réunion des</w:t>
      </w:r>
      <w:r w:rsidR="001927AD" w:rsidRPr="00695693">
        <w:rPr>
          <w:rFonts w:ascii="Times New Roman" w:hAnsi="Times New Roman" w:cs="Times New Roman"/>
          <w:sz w:val="24"/>
          <w:szCs w:val="24"/>
        </w:rPr>
        <w:t xml:space="preserve"> conditions précédemment examinées </w:t>
      </w:r>
      <w:r w:rsidRPr="00695693">
        <w:rPr>
          <w:rFonts w:ascii="Times New Roman" w:hAnsi="Times New Roman" w:cs="Times New Roman"/>
          <w:sz w:val="24"/>
          <w:szCs w:val="24"/>
        </w:rPr>
        <w:t xml:space="preserve">permettra </w:t>
      </w:r>
      <w:r w:rsidR="000A2881" w:rsidRPr="00695693">
        <w:rPr>
          <w:rFonts w:ascii="Times New Roman" w:hAnsi="Times New Roman" w:cs="Times New Roman"/>
          <w:sz w:val="24"/>
          <w:szCs w:val="24"/>
        </w:rPr>
        <w:t xml:space="preserve">le déroulement de l’instance préjudicielle non seulement au niveau national </w:t>
      </w:r>
      <w:r w:rsidR="000A2881" w:rsidRPr="00A05233">
        <w:rPr>
          <w:rFonts w:ascii="Times New Roman" w:hAnsi="Times New Roman" w:cs="Times New Roman"/>
          <w:b/>
          <w:sz w:val="24"/>
          <w:szCs w:val="24"/>
        </w:rPr>
        <w:t>(A)</w:t>
      </w:r>
      <w:r w:rsidR="000A2881" w:rsidRPr="00695693">
        <w:rPr>
          <w:rFonts w:ascii="Times New Roman" w:hAnsi="Times New Roman" w:cs="Times New Roman"/>
          <w:sz w:val="24"/>
          <w:szCs w:val="24"/>
        </w:rPr>
        <w:t xml:space="preserve">, mais aussi au niveau communautaire </w:t>
      </w:r>
      <w:r w:rsidRPr="00A05233">
        <w:rPr>
          <w:rFonts w:ascii="Times New Roman" w:hAnsi="Times New Roman" w:cs="Times New Roman"/>
          <w:b/>
          <w:sz w:val="24"/>
          <w:szCs w:val="24"/>
        </w:rPr>
        <w:t>(B)</w:t>
      </w:r>
      <w:r w:rsidRPr="00695693">
        <w:rPr>
          <w:rFonts w:ascii="Times New Roman" w:hAnsi="Times New Roman" w:cs="Times New Roman"/>
          <w:sz w:val="24"/>
          <w:szCs w:val="24"/>
        </w:rPr>
        <w:t>.</w:t>
      </w:r>
    </w:p>
    <w:p w:rsidR="00694424" w:rsidRPr="00802E04" w:rsidRDefault="00694424" w:rsidP="0037430F">
      <w:pPr>
        <w:pStyle w:val="Titre5"/>
      </w:pPr>
      <w:bookmarkStart w:id="54" w:name="_Toc518672803"/>
      <w:r w:rsidRPr="00802E04">
        <w:t xml:space="preserve">A. </w:t>
      </w:r>
      <w:r w:rsidR="00924188" w:rsidRPr="00802E04">
        <w:t>Le déroulement de l’instance préjudicielle au niveau national</w:t>
      </w:r>
      <w:bookmarkEnd w:id="54"/>
    </w:p>
    <w:p w:rsidR="009629D4" w:rsidRPr="00695693" w:rsidRDefault="009629D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Il traduit la procédure de renvoi au niveau national. Ainsi, le juge national prononce d’abord le renvoi avant de décider du sursis à statuer.</w:t>
      </w:r>
    </w:p>
    <w:p w:rsidR="00F36FDB" w:rsidRPr="00695693" w:rsidRDefault="009629D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S’agissant du prononcé du renvoi, il faut dire que l</w:t>
      </w:r>
      <w:r w:rsidR="00694424" w:rsidRPr="00695693">
        <w:rPr>
          <w:rFonts w:ascii="Times New Roman" w:hAnsi="Times New Roman" w:cs="Times New Roman"/>
          <w:sz w:val="24"/>
          <w:szCs w:val="24"/>
        </w:rPr>
        <w:t>’initiative appar</w:t>
      </w:r>
      <w:r w:rsidR="00C455F8" w:rsidRPr="00695693">
        <w:rPr>
          <w:rFonts w:ascii="Times New Roman" w:hAnsi="Times New Roman" w:cs="Times New Roman"/>
          <w:sz w:val="24"/>
          <w:szCs w:val="24"/>
        </w:rPr>
        <w:t xml:space="preserve">tient au juge national </w:t>
      </w:r>
      <w:r w:rsidR="00694424" w:rsidRPr="00695693">
        <w:rPr>
          <w:rFonts w:ascii="Times New Roman" w:hAnsi="Times New Roman" w:cs="Times New Roman"/>
          <w:sz w:val="24"/>
          <w:szCs w:val="24"/>
        </w:rPr>
        <w:t>saisi de l’affaire au principal</w:t>
      </w:r>
      <w:r w:rsidR="00694424" w:rsidRPr="00695693">
        <w:rPr>
          <w:rStyle w:val="Appelnotedebasdep"/>
          <w:rFonts w:ascii="Times New Roman" w:hAnsi="Times New Roman" w:cs="Times New Roman"/>
          <w:sz w:val="24"/>
          <w:szCs w:val="24"/>
        </w:rPr>
        <w:footnoteReference w:id="177"/>
      </w:r>
      <w:r w:rsidR="003E0487">
        <w:rPr>
          <w:rFonts w:ascii="Times New Roman" w:hAnsi="Times New Roman" w:cs="Times New Roman"/>
          <w:sz w:val="24"/>
          <w:szCs w:val="24"/>
        </w:rPr>
        <w:t xml:space="preserve"> et qui se retrouve en face d’une difficulté d’interprétation</w:t>
      </w:r>
      <w:r w:rsidR="00414381">
        <w:rPr>
          <w:rFonts w:ascii="Times New Roman" w:hAnsi="Times New Roman" w:cs="Times New Roman"/>
          <w:sz w:val="24"/>
          <w:szCs w:val="24"/>
        </w:rPr>
        <w:t xml:space="preserve"> ou d’un doute sur la validité</w:t>
      </w:r>
      <w:r w:rsidR="003E0487">
        <w:rPr>
          <w:rFonts w:ascii="Times New Roman" w:hAnsi="Times New Roman" w:cs="Times New Roman"/>
          <w:sz w:val="24"/>
          <w:szCs w:val="24"/>
        </w:rPr>
        <w:t xml:space="preserve"> d’une norme communautaire lorsqu’il veut trancher ladite affaire</w:t>
      </w:r>
      <w:r w:rsidR="0041493D">
        <w:rPr>
          <w:rStyle w:val="Appelnotedebasdep"/>
          <w:rFonts w:ascii="Times New Roman" w:hAnsi="Times New Roman" w:cs="Times New Roman"/>
          <w:sz w:val="24"/>
          <w:szCs w:val="24"/>
        </w:rPr>
        <w:footnoteReference w:id="178"/>
      </w:r>
      <w:r w:rsidR="00694424" w:rsidRPr="00695693">
        <w:rPr>
          <w:rFonts w:ascii="Times New Roman" w:hAnsi="Times New Roman" w:cs="Times New Roman"/>
          <w:sz w:val="24"/>
          <w:szCs w:val="24"/>
        </w:rPr>
        <w:t xml:space="preserve">. Il lui appartient </w:t>
      </w:r>
      <w:r w:rsidRPr="00695693">
        <w:rPr>
          <w:rFonts w:ascii="Times New Roman" w:hAnsi="Times New Roman" w:cs="Times New Roman"/>
          <w:sz w:val="24"/>
          <w:szCs w:val="24"/>
        </w:rPr>
        <w:t xml:space="preserve">exclusivement </w:t>
      </w:r>
      <w:r w:rsidR="00694424" w:rsidRPr="00695693">
        <w:rPr>
          <w:rFonts w:ascii="Times New Roman" w:hAnsi="Times New Roman" w:cs="Times New Roman"/>
          <w:sz w:val="24"/>
          <w:szCs w:val="24"/>
        </w:rPr>
        <w:t xml:space="preserve">de décider de son propre gré de renvoyer ou non à la Cour de justice de la communauté une question portant soit sur l’interprétation, soit sur l’appréciation de </w:t>
      </w:r>
      <w:r w:rsidR="00694424" w:rsidRPr="00695693">
        <w:rPr>
          <w:rFonts w:ascii="Times New Roman" w:hAnsi="Times New Roman" w:cs="Times New Roman"/>
          <w:sz w:val="24"/>
          <w:szCs w:val="24"/>
        </w:rPr>
        <w:lastRenderedPageBreak/>
        <w:t xml:space="preserve">validité d’une disposition du droit </w:t>
      </w:r>
      <w:r w:rsidRPr="00695693">
        <w:rPr>
          <w:rFonts w:ascii="Times New Roman" w:hAnsi="Times New Roman" w:cs="Times New Roman"/>
          <w:sz w:val="24"/>
          <w:szCs w:val="24"/>
        </w:rPr>
        <w:t>communautaire</w:t>
      </w:r>
      <w:r w:rsidRPr="00695693">
        <w:rPr>
          <w:rStyle w:val="Appelnotedebasdep"/>
          <w:rFonts w:ascii="Times New Roman" w:hAnsi="Times New Roman" w:cs="Times New Roman"/>
          <w:sz w:val="24"/>
          <w:szCs w:val="24"/>
        </w:rPr>
        <w:footnoteReference w:id="179"/>
      </w:r>
      <w:r w:rsidR="00694424" w:rsidRPr="00695693">
        <w:rPr>
          <w:rFonts w:ascii="Times New Roman" w:hAnsi="Times New Roman" w:cs="Times New Roman"/>
          <w:sz w:val="24"/>
          <w:szCs w:val="24"/>
        </w:rPr>
        <w:t xml:space="preserve">. </w:t>
      </w:r>
      <w:r w:rsidR="002A0760" w:rsidRPr="00695693">
        <w:rPr>
          <w:rFonts w:ascii="Times New Roman" w:hAnsi="Times New Roman" w:cs="Times New Roman"/>
          <w:sz w:val="24"/>
          <w:szCs w:val="24"/>
        </w:rPr>
        <w:t>Il</w:t>
      </w:r>
      <w:r w:rsidR="00694424" w:rsidRPr="00695693">
        <w:rPr>
          <w:rFonts w:ascii="Times New Roman" w:hAnsi="Times New Roman" w:cs="Times New Roman"/>
          <w:sz w:val="24"/>
          <w:szCs w:val="24"/>
        </w:rPr>
        <w:t xml:space="preserve"> n’est aucunement tenu sur ce point par les demandes ou conclusions des parties. Cela veut dire qu’ « </w:t>
      </w:r>
      <w:r w:rsidR="00694424" w:rsidRPr="00695693">
        <w:rPr>
          <w:rFonts w:ascii="Times New Roman" w:hAnsi="Times New Roman" w:cs="Times New Roman"/>
          <w:i/>
          <w:sz w:val="24"/>
          <w:szCs w:val="24"/>
        </w:rPr>
        <w:t>il puisse refuser de saisir la Cour de justice d’une demande de décision préjudicielle que sollicitent (les parties en litige) et qu’il puisse saisir d’office la Cour, alors même que (les parties en litige) ne le demandent pas ou y sont opposées</w:t>
      </w:r>
      <w:r w:rsidR="00694424" w:rsidRPr="00695693">
        <w:rPr>
          <w:rFonts w:ascii="Times New Roman" w:hAnsi="Times New Roman" w:cs="Times New Roman"/>
          <w:sz w:val="24"/>
          <w:szCs w:val="24"/>
        </w:rPr>
        <w:t> »</w:t>
      </w:r>
      <w:r w:rsidR="00694424" w:rsidRPr="00695693">
        <w:rPr>
          <w:rStyle w:val="Appelnotedebasdep"/>
          <w:rFonts w:ascii="Times New Roman" w:hAnsi="Times New Roman" w:cs="Times New Roman"/>
          <w:sz w:val="24"/>
          <w:szCs w:val="24"/>
        </w:rPr>
        <w:footnoteReference w:id="180"/>
      </w:r>
      <w:r w:rsidR="00694424" w:rsidRPr="00695693">
        <w:rPr>
          <w:rFonts w:ascii="Times New Roman" w:hAnsi="Times New Roman" w:cs="Times New Roman"/>
          <w:sz w:val="24"/>
          <w:szCs w:val="24"/>
        </w:rPr>
        <w:t>.</w:t>
      </w:r>
      <w:r w:rsidR="009559E4" w:rsidRPr="00695693">
        <w:rPr>
          <w:rFonts w:ascii="Times New Roman" w:hAnsi="Times New Roman" w:cs="Times New Roman"/>
          <w:sz w:val="24"/>
          <w:szCs w:val="24"/>
        </w:rPr>
        <w:t>Cependant</w:t>
      </w:r>
      <w:r w:rsidR="00694424" w:rsidRPr="00695693">
        <w:rPr>
          <w:rFonts w:ascii="Times New Roman" w:hAnsi="Times New Roman" w:cs="Times New Roman"/>
          <w:sz w:val="24"/>
          <w:szCs w:val="24"/>
        </w:rPr>
        <w:t xml:space="preserve">, </w:t>
      </w:r>
      <w:r w:rsidR="004E4D14">
        <w:rPr>
          <w:rFonts w:ascii="Times New Roman" w:hAnsi="Times New Roman" w:cs="Times New Roman"/>
          <w:sz w:val="24"/>
          <w:szCs w:val="24"/>
        </w:rPr>
        <w:t xml:space="preserve">si </w:t>
      </w:r>
      <w:r w:rsidR="00694424" w:rsidRPr="00695693">
        <w:rPr>
          <w:rFonts w:ascii="Times New Roman" w:hAnsi="Times New Roman" w:cs="Times New Roman"/>
          <w:sz w:val="24"/>
          <w:szCs w:val="24"/>
        </w:rPr>
        <w:t xml:space="preserve">le système CEDEAO </w:t>
      </w:r>
      <w:r w:rsidR="00414381">
        <w:rPr>
          <w:rFonts w:ascii="Times New Roman" w:hAnsi="Times New Roman" w:cs="Times New Roman"/>
          <w:sz w:val="24"/>
          <w:szCs w:val="24"/>
        </w:rPr>
        <w:t>laisse voir en filigrane une</w:t>
      </w:r>
      <w:r w:rsidR="00697FC8">
        <w:rPr>
          <w:rFonts w:ascii="Times New Roman" w:hAnsi="Times New Roman" w:cs="Times New Roman"/>
          <w:sz w:val="24"/>
          <w:szCs w:val="24"/>
        </w:rPr>
        <w:t xml:space="preserve"> pure</w:t>
      </w:r>
      <w:r w:rsidR="009559E4" w:rsidRPr="00695693">
        <w:rPr>
          <w:rFonts w:ascii="Times New Roman" w:hAnsi="Times New Roman" w:cs="Times New Roman"/>
          <w:sz w:val="24"/>
          <w:szCs w:val="24"/>
        </w:rPr>
        <w:t>facult</w:t>
      </w:r>
      <w:r w:rsidR="00414381">
        <w:rPr>
          <w:rFonts w:ascii="Times New Roman" w:hAnsi="Times New Roman" w:cs="Times New Roman"/>
          <w:sz w:val="24"/>
          <w:szCs w:val="24"/>
        </w:rPr>
        <w:t xml:space="preserve">é quant au </w:t>
      </w:r>
      <w:r w:rsidR="00694424" w:rsidRPr="00695693">
        <w:rPr>
          <w:rFonts w:ascii="Times New Roman" w:hAnsi="Times New Roman" w:cs="Times New Roman"/>
          <w:sz w:val="24"/>
          <w:szCs w:val="24"/>
        </w:rPr>
        <w:t xml:space="preserve">prononcé du renvoi préjudiciel </w:t>
      </w:r>
      <w:r w:rsidR="009559E4" w:rsidRPr="00695693">
        <w:rPr>
          <w:rFonts w:ascii="Times New Roman" w:hAnsi="Times New Roman" w:cs="Times New Roman"/>
          <w:sz w:val="24"/>
          <w:szCs w:val="24"/>
        </w:rPr>
        <w:t xml:space="preserve">par toutes les </w:t>
      </w:r>
      <w:r w:rsidR="00694424" w:rsidRPr="00695693">
        <w:rPr>
          <w:rFonts w:ascii="Times New Roman" w:hAnsi="Times New Roman" w:cs="Times New Roman"/>
          <w:sz w:val="24"/>
          <w:szCs w:val="24"/>
        </w:rPr>
        <w:t>juri</w:t>
      </w:r>
      <w:r w:rsidR="009559E4" w:rsidRPr="00695693">
        <w:rPr>
          <w:rFonts w:ascii="Times New Roman" w:hAnsi="Times New Roman" w:cs="Times New Roman"/>
          <w:sz w:val="24"/>
          <w:szCs w:val="24"/>
        </w:rPr>
        <w:t>dictions nationales, indépendamment de</w:t>
      </w:r>
      <w:r w:rsidR="00694424" w:rsidRPr="00695693">
        <w:rPr>
          <w:rFonts w:ascii="Times New Roman" w:hAnsi="Times New Roman" w:cs="Times New Roman"/>
          <w:sz w:val="24"/>
          <w:szCs w:val="24"/>
        </w:rPr>
        <w:t xml:space="preserve"> leur place dans la hiérarchie de l’or</w:t>
      </w:r>
      <w:r w:rsidR="009559E4" w:rsidRPr="00695693">
        <w:rPr>
          <w:rFonts w:ascii="Times New Roman" w:hAnsi="Times New Roman" w:cs="Times New Roman"/>
          <w:sz w:val="24"/>
          <w:szCs w:val="24"/>
        </w:rPr>
        <w:t>dre juridique interne des Etats</w:t>
      </w:r>
      <w:r w:rsidR="00694424" w:rsidRPr="00695693">
        <w:rPr>
          <w:rFonts w:ascii="Times New Roman" w:hAnsi="Times New Roman" w:cs="Times New Roman"/>
          <w:sz w:val="24"/>
          <w:szCs w:val="24"/>
        </w:rPr>
        <w:t xml:space="preserve">, </w:t>
      </w:r>
      <w:r w:rsidR="009559E4" w:rsidRPr="00695693">
        <w:rPr>
          <w:rFonts w:ascii="Times New Roman" w:hAnsi="Times New Roman" w:cs="Times New Roman"/>
          <w:sz w:val="24"/>
          <w:szCs w:val="24"/>
        </w:rPr>
        <w:t>les systèmes UEMOA</w:t>
      </w:r>
      <w:r w:rsidR="000844A2" w:rsidRPr="00695693">
        <w:rPr>
          <w:rStyle w:val="Appelnotedebasdep"/>
          <w:rFonts w:ascii="Times New Roman" w:hAnsi="Times New Roman" w:cs="Times New Roman"/>
          <w:sz w:val="24"/>
          <w:szCs w:val="24"/>
        </w:rPr>
        <w:footnoteReference w:id="181"/>
      </w:r>
      <w:r w:rsidR="009559E4" w:rsidRPr="00695693">
        <w:rPr>
          <w:rFonts w:ascii="Times New Roman" w:hAnsi="Times New Roman" w:cs="Times New Roman"/>
          <w:sz w:val="24"/>
          <w:szCs w:val="24"/>
        </w:rPr>
        <w:t>, CEMAC</w:t>
      </w:r>
      <w:r w:rsidR="000844A2" w:rsidRPr="00695693">
        <w:rPr>
          <w:rStyle w:val="Appelnotedebasdep"/>
          <w:rFonts w:ascii="Times New Roman" w:hAnsi="Times New Roman" w:cs="Times New Roman"/>
          <w:sz w:val="24"/>
          <w:szCs w:val="24"/>
        </w:rPr>
        <w:footnoteReference w:id="182"/>
      </w:r>
      <w:r w:rsidR="009559E4" w:rsidRPr="00695693">
        <w:rPr>
          <w:rFonts w:ascii="Times New Roman" w:hAnsi="Times New Roman" w:cs="Times New Roman"/>
          <w:sz w:val="24"/>
          <w:szCs w:val="24"/>
        </w:rPr>
        <w:t>, COMESA</w:t>
      </w:r>
      <w:r w:rsidR="000844A2" w:rsidRPr="00695693">
        <w:rPr>
          <w:rStyle w:val="Appelnotedebasdep"/>
          <w:rFonts w:ascii="Times New Roman" w:hAnsi="Times New Roman" w:cs="Times New Roman"/>
          <w:sz w:val="24"/>
          <w:szCs w:val="24"/>
        </w:rPr>
        <w:footnoteReference w:id="183"/>
      </w:r>
      <w:r w:rsidR="009559E4" w:rsidRPr="00695693">
        <w:rPr>
          <w:rFonts w:ascii="Times New Roman" w:hAnsi="Times New Roman" w:cs="Times New Roman"/>
          <w:sz w:val="24"/>
          <w:szCs w:val="24"/>
        </w:rPr>
        <w:t xml:space="preserve"> et européen</w:t>
      </w:r>
      <w:r w:rsidR="000844A2" w:rsidRPr="00695693">
        <w:rPr>
          <w:rStyle w:val="Appelnotedebasdep"/>
          <w:rFonts w:ascii="Times New Roman" w:hAnsi="Times New Roman" w:cs="Times New Roman"/>
          <w:sz w:val="24"/>
          <w:szCs w:val="24"/>
        </w:rPr>
        <w:footnoteReference w:id="184"/>
      </w:r>
      <w:r w:rsidR="009559E4" w:rsidRPr="00695693">
        <w:rPr>
          <w:rFonts w:ascii="Times New Roman" w:hAnsi="Times New Roman" w:cs="Times New Roman"/>
          <w:sz w:val="24"/>
          <w:szCs w:val="24"/>
        </w:rPr>
        <w:t xml:space="preserve"> se contentent </w:t>
      </w:r>
      <w:r w:rsidR="000844A2" w:rsidRPr="00695693">
        <w:rPr>
          <w:rFonts w:ascii="Times New Roman" w:hAnsi="Times New Roman" w:cs="Times New Roman"/>
          <w:sz w:val="24"/>
          <w:szCs w:val="24"/>
        </w:rPr>
        <w:t xml:space="preserve">de rendre le prononcé du renvoi facultatif pour les </w:t>
      </w:r>
      <w:r w:rsidR="00697FC8">
        <w:rPr>
          <w:rFonts w:ascii="Times New Roman" w:hAnsi="Times New Roman" w:cs="Times New Roman"/>
          <w:sz w:val="24"/>
          <w:szCs w:val="24"/>
        </w:rPr>
        <w:t xml:space="preserve">seules </w:t>
      </w:r>
      <w:r w:rsidR="000844A2" w:rsidRPr="00695693">
        <w:rPr>
          <w:rFonts w:ascii="Times New Roman" w:hAnsi="Times New Roman" w:cs="Times New Roman"/>
          <w:sz w:val="24"/>
          <w:szCs w:val="24"/>
        </w:rPr>
        <w:t>juridictions nationales inférieures</w:t>
      </w:r>
      <w:r w:rsidR="007C40FF">
        <w:rPr>
          <w:rStyle w:val="Appelnotedebasdep"/>
          <w:rFonts w:ascii="Times New Roman" w:hAnsi="Times New Roman" w:cs="Times New Roman"/>
          <w:sz w:val="24"/>
          <w:szCs w:val="24"/>
        </w:rPr>
        <w:footnoteReference w:id="185"/>
      </w:r>
      <w:r w:rsidR="000844A2" w:rsidRPr="00695693">
        <w:rPr>
          <w:rFonts w:ascii="Times New Roman" w:hAnsi="Times New Roman" w:cs="Times New Roman"/>
          <w:sz w:val="24"/>
          <w:szCs w:val="24"/>
        </w:rPr>
        <w:t xml:space="preserve"> et obligatoire pour celles dont les décisions sont insusceptibles de recours juridictionnel de droit interne</w:t>
      </w:r>
      <w:r w:rsidR="007C40FF">
        <w:rPr>
          <w:rStyle w:val="Appelnotedebasdep"/>
          <w:rFonts w:ascii="Times New Roman" w:hAnsi="Times New Roman" w:cs="Times New Roman"/>
          <w:sz w:val="24"/>
          <w:szCs w:val="24"/>
        </w:rPr>
        <w:footnoteReference w:id="186"/>
      </w:r>
      <w:r w:rsidR="000844A2" w:rsidRPr="00695693">
        <w:rPr>
          <w:rFonts w:ascii="Times New Roman" w:hAnsi="Times New Roman" w:cs="Times New Roman"/>
          <w:sz w:val="24"/>
          <w:szCs w:val="24"/>
        </w:rPr>
        <w:t>.</w:t>
      </w:r>
    </w:p>
    <w:p w:rsidR="0055421C" w:rsidRPr="00695693" w:rsidRDefault="00F36FDB" w:rsidP="00695693">
      <w:pPr>
        <w:spacing w:line="360" w:lineRule="auto"/>
        <w:jc w:val="both"/>
        <w:rPr>
          <w:rFonts w:ascii="Times New Roman" w:hAnsi="Times New Roman" w:cs="Times New Roman"/>
          <w:color w:val="FF0000"/>
          <w:sz w:val="24"/>
          <w:szCs w:val="24"/>
        </w:rPr>
      </w:pPr>
      <w:r w:rsidRPr="00695693">
        <w:rPr>
          <w:rFonts w:ascii="Times New Roman" w:hAnsi="Times New Roman" w:cs="Times New Roman"/>
          <w:sz w:val="24"/>
          <w:szCs w:val="24"/>
        </w:rPr>
        <w:t>S’agissant du sursis à statuer,</w:t>
      </w:r>
      <w:r w:rsidR="0055421C" w:rsidRPr="00695693">
        <w:rPr>
          <w:rFonts w:ascii="Times New Roman" w:hAnsi="Times New Roman" w:cs="Times New Roman"/>
          <w:sz w:val="24"/>
          <w:szCs w:val="24"/>
        </w:rPr>
        <w:t xml:space="preserve">il traduit la suspension de la procédure pendante devant le juge national jusqu’à la réponse de la Cour de justice saisie de la question préjudicielle. Ainsi, </w:t>
      </w:r>
      <w:r w:rsidR="003B2BBC" w:rsidRPr="00695693">
        <w:rPr>
          <w:rFonts w:ascii="Times New Roman" w:hAnsi="Times New Roman" w:cs="Times New Roman"/>
          <w:sz w:val="24"/>
          <w:szCs w:val="24"/>
        </w:rPr>
        <w:t>d</w:t>
      </w:r>
      <w:r w:rsidR="00694424" w:rsidRPr="00695693">
        <w:rPr>
          <w:rFonts w:ascii="Times New Roman" w:hAnsi="Times New Roman" w:cs="Times New Roman"/>
          <w:sz w:val="24"/>
          <w:szCs w:val="24"/>
        </w:rPr>
        <w:t xml:space="preserve">ès qu’une question relative à l’interprétation ou l’appréciation de validité d’une disposition du droit de la Communauté est soulevée par l’une des parties en litige ou spontanément reconnue par le juge national, celui-ci est tenu, s’il estime nécessaire, de surseoir à statuer et demander à la Cour de justice d’intervenir.En droit </w:t>
      </w:r>
      <w:r w:rsidR="00A05233">
        <w:rPr>
          <w:rFonts w:ascii="Times New Roman" w:hAnsi="Times New Roman" w:cs="Times New Roman"/>
          <w:sz w:val="24"/>
          <w:szCs w:val="24"/>
        </w:rPr>
        <w:t xml:space="preserve">communautaire </w:t>
      </w:r>
      <w:r w:rsidR="00694424" w:rsidRPr="00695693">
        <w:rPr>
          <w:rFonts w:ascii="Times New Roman" w:hAnsi="Times New Roman" w:cs="Times New Roman"/>
          <w:sz w:val="24"/>
          <w:szCs w:val="24"/>
        </w:rPr>
        <w:t xml:space="preserve">européen, la jurisprudence a </w:t>
      </w:r>
      <w:r w:rsidR="00C35A2C" w:rsidRPr="00695693">
        <w:rPr>
          <w:rFonts w:ascii="Times New Roman" w:hAnsi="Times New Roman" w:cs="Times New Roman"/>
          <w:sz w:val="24"/>
          <w:szCs w:val="24"/>
        </w:rPr>
        <w:t>précisé</w:t>
      </w:r>
      <w:r w:rsidR="00694424" w:rsidRPr="00695693">
        <w:rPr>
          <w:rFonts w:ascii="Times New Roman" w:hAnsi="Times New Roman" w:cs="Times New Roman"/>
          <w:sz w:val="24"/>
          <w:szCs w:val="24"/>
        </w:rPr>
        <w:t xml:space="preserve"> les conditions qui président au prononcé du sursis à statuer par la juridiction nationale. Il en a été ainsi dans l’affaire </w:t>
      </w:r>
      <w:r w:rsidR="00694424" w:rsidRPr="00695693">
        <w:rPr>
          <w:rFonts w:ascii="Times New Roman" w:hAnsi="Times New Roman" w:cs="Times New Roman"/>
          <w:i/>
          <w:sz w:val="24"/>
          <w:szCs w:val="24"/>
        </w:rPr>
        <w:t>ZuckerfabrikSuderdithmarschen AG c/ HauptzollamtItzehoc</w:t>
      </w:r>
      <w:r w:rsidR="005C69E4" w:rsidRPr="00695693">
        <w:rPr>
          <w:rFonts w:ascii="Times New Roman" w:hAnsi="Times New Roman" w:cs="Times New Roman"/>
          <w:sz w:val="24"/>
          <w:szCs w:val="24"/>
        </w:rPr>
        <w:t xml:space="preserve"> du 21 f</w:t>
      </w:r>
      <w:r w:rsidR="00694424" w:rsidRPr="00695693">
        <w:rPr>
          <w:rFonts w:ascii="Times New Roman" w:hAnsi="Times New Roman" w:cs="Times New Roman"/>
          <w:sz w:val="24"/>
          <w:szCs w:val="24"/>
        </w:rPr>
        <w:t>évrier 1991</w:t>
      </w:r>
      <w:r w:rsidR="00694424" w:rsidRPr="00695693">
        <w:rPr>
          <w:rStyle w:val="Appelnotedebasdep"/>
          <w:rFonts w:ascii="Times New Roman" w:hAnsi="Times New Roman" w:cs="Times New Roman"/>
          <w:sz w:val="24"/>
          <w:szCs w:val="24"/>
        </w:rPr>
        <w:footnoteReference w:id="187"/>
      </w:r>
      <w:r w:rsidR="00694424" w:rsidRPr="00695693">
        <w:rPr>
          <w:rFonts w:ascii="Times New Roman" w:hAnsi="Times New Roman" w:cs="Times New Roman"/>
          <w:sz w:val="24"/>
          <w:szCs w:val="24"/>
        </w:rPr>
        <w:t xml:space="preserve">, </w:t>
      </w:r>
      <w:r w:rsidR="00FD2F45">
        <w:rPr>
          <w:rFonts w:ascii="Times New Roman" w:hAnsi="Times New Roman" w:cs="Times New Roman"/>
          <w:sz w:val="24"/>
          <w:szCs w:val="24"/>
        </w:rPr>
        <w:t xml:space="preserve">où la Cour de justice soutient que </w:t>
      </w:r>
      <w:r w:rsidR="00694424" w:rsidRPr="00695693">
        <w:rPr>
          <w:rFonts w:ascii="Times New Roman" w:hAnsi="Times New Roman" w:cs="Times New Roman"/>
          <w:sz w:val="24"/>
          <w:szCs w:val="24"/>
        </w:rPr>
        <w:t xml:space="preserve">la juridiction nationale peut suspendre la </w:t>
      </w:r>
      <w:r w:rsidR="00694424" w:rsidRPr="00695693">
        <w:rPr>
          <w:rFonts w:ascii="Times New Roman" w:hAnsi="Times New Roman" w:cs="Times New Roman"/>
          <w:sz w:val="24"/>
          <w:szCs w:val="24"/>
        </w:rPr>
        <w:lastRenderedPageBreak/>
        <w:t>mesure nationale d’exécution du droit communautaire dans l’objectif d’assurer une plus grande effectivité de</w:t>
      </w:r>
      <w:r w:rsidR="00FD2F45">
        <w:rPr>
          <w:rFonts w:ascii="Times New Roman" w:hAnsi="Times New Roman" w:cs="Times New Roman"/>
          <w:sz w:val="24"/>
          <w:szCs w:val="24"/>
        </w:rPr>
        <w:t xml:space="preserve"> la protection juridictionnelle</w:t>
      </w:r>
      <w:r w:rsidR="00694424" w:rsidRPr="00695693">
        <w:rPr>
          <w:rStyle w:val="Appelnotedebasdep"/>
          <w:rFonts w:ascii="Times New Roman" w:hAnsi="Times New Roman" w:cs="Times New Roman"/>
          <w:sz w:val="24"/>
          <w:szCs w:val="24"/>
        </w:rPr>
        <w:footnoteReference w:id="188"/>
      </w:r>
      <w:r w:rsidR="00694424" w:rsidRPr="00695693">
        <w:rPr>
          <w:rFonts w:ascii="Times New Roman" w:hAnsi="Times New Roman" w:cs="Times New Roman"/>
          <w:sz w:val="24"/>
          <w:szCs w:val="24"/>
        </w:rPr>
        <w:t>. En revanche, pour la Cour, ce sursis ne peut être accordé par le juge national que si les conditions suivantes sont respectées : la juridiction nationale a des doutes sérieux sur la validité de l’acte communautaire ; cette juridiction doit renvoyer la question de validité à la Cour, sauf si la Cour a déjà été saisie ; il faut aussi qu’il y a</w:t>
      </w:r>
      <w:r w:rsidR="0025017E" w:rsidRPr="00695693">
        <w:rPr>
          <w:rFonts w:ascii="Times New Roman" w:hAnsi="Times New Roman" w:cs="Times New Roman"/>
          <w:sz w:val="24"/>
          <w:szCs w:val="24"/>
        </w:rPr>
        <w:t>it</w:t>
      </w:r>
      <w:r w:rsidR="00694424" w:rsidRPr="00695693">
        <w:rPr>
          <w:rFonts w:ascii="Times New Roman" w:hAnsi="Times New Roman" w:cs="Times New Roman"/>
          <w:sz w:val="24"/>
          <w:szCs w:val="24"/>
        </w:rPr>
        <w:t xml:space="preserve"> urgence ; le requérant est menacé d’un préjudice grave et irréparable ; la prise en compte de l’intérêt de la Communauté par la juridiction nationale</w:t>
      </w:r>
      <w:r w:rsidR="00694424" w:rsidRPr="00695693">
        <w:rPr>
          <w:rStyle w:val="Appelnotedebasdep"/>
          <w:rFonts w:ascii="Times New Roman" w:hAnsi="Times New Roman" w:cs="Times New Roman"/>
          <w:sz w:val="24"/>
          <w:szCs w:val="24"/>
        </w:rPr>
        <w:footnoteReference w:id="189"/>
      </w:r>
      <w:r w:rsidR="0055421C" w:rsidRPr="00695693">
        <w:rPr>
          <w:rFonts w:ascii="Times New Roman" w:hAnsi="Times New Roman" w:cs="Times New Roman"/>
          <w:sz w:val="24"/>
          <w:szCs w:val="24"/>
        </w:rPr>
        <w:t xml:space="preserve">. </w:t>
      </w:r>
    </w:p>
    <w:p w:rsidR="0055421C" w:rsidRPr="00695693" w:rsidRDefault="00694424" w:rsidP="00695693">
      <w:pPr>
        <w:spacing w:line="360" w:lineRule="auto"/>
        <w:jc w:val="both"/>
        <w:rPr>
          <w:rFonts w:ascii="Times New Roman" w:hAnsi="Times New Roman" w:cs="Times New Roman"/>
          <w:color w:val="FF0000"/>
          <w:sz w:val="24"/>
          <w:szCs w:val="24"/>
        </w:rPr>
      </w:pPr>
      <w:r w:rsidRPr="00695693">
        <w:rPr>
          <w:rFonts w:ascii="Times New Roman" w:hAnsi="Times New Roman" w:cs="Times New Roman"/>
          <w:sz w:val="24"/>
          <w:szCs w:val="24"/>
        </w:rPr>
        <w:t>S’agissant clairement de la procédure par laquelle le juge national d</w:t>
      </w:r>
      <w:r w:rsidR="00280003" w:rsidRPr="00695693">
        <w:rPr>
          <w:rFonts w:ascii="Times New Roman" w:hAnsi="Times New Roman" w:cs="Times New Roman"/>
          <w:sz w:val="24"/>
          <w:szCs w:val="24"/>
        </w:rPr>
        <w:t>éfère la question à la Cour de j</w:t>
      </w:r>
      <w:r w:rsidRPr="00695693">
        <w:rPr>
          <w:rFonts w:ascii="Times New Roman" w:hAnsi="Times New Roman" w:cs="Times New Roman"/>
          <w:sz w:val="24"/>
          <w:szCs w:val="24"/>
        </w:rPr>
        <w:t>ustice, il faut dire qu’en règle générale</w:t>
      </w:r>
      <w:r w:rsidR="0025017E" w:rsidRPr="00695693">
        <w:rPr>
          <w:rFonts w:ascii="Times New Roman" w:hAnsi="Times New Roman" w:cs="Times New Roman"/>
          <w:sz w:val="24"/>
          <w:szCs w:val="24"/>
        </w:rPr>
        <w:t>,</w:t>
      </w:r>
      <w:r w:rsidRPr="00695693">
        <w:rPr>
          <w:rFonts w:ascii="Times New Roman" w:hAnsi="Times New Roman" w:cs="Times New Roman"/>
          <w:sz w:val="24"/>
          <w:szCs w:val="24"/>
        </w:rPr>
        <w:t xml:space="preserve"> les textes communautaires n’exigent aucune forme particulière</w:t>
      </w:r>
      <w:r w:rsidRPr="00695693">
        <w:rPr>
          <w:rStyle w:val="Appelnotedebasdep"/>
          <w:rFonts w:ascii="Times New Roman" w:hAnsi="Times New Roman" w:cs="Times New Roman"/>
          <w:sz w:val="24"/>
          <w:szCs w:val="24"/>
        </w:rPr>
        <w:footnoteReference w:id="190"/>
      </w:r>
      <w:r w:rsidR="0051620E" w:rsidRPr="00695693">
        <w:rPr>
          <w:rFonts w:ascii="Times New Roman" w:hAnsi="Times New Roman" w:cs="Times New Roman"/>
          <w:sz w:val="24"/>
          <w:szCs w:val="24"/>
        </w:rPr>
        <w:t>. La Cour « </w:t>
      </w:r>
      <w:r w:rsidRPr="00695693">
        <w:rPr>
          <w:rFonts w:ascii="Times New Roman" w:hAnsi="Times New Roman" w:cs="Times New Roman"/>
          <w:i/>
          <w:sz w:val="24"/>
          <w:szCs w:val="24"/>
        </w:rPr>
        <w:t>peut être saisie par ordonnance, jugement ou arrêt, pourvu que les questions soient posées de façon suffisamment claire</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191"/>
      </w:r>
      <w:r w:rsidRPr="00695693">
        <w:rPr>
          <w:rFonts w:ascii="Times New Roman" w:hAnsi="Times New Roman" w:cs="Times New Roman"/>
          <w:sz w:val="24"/>
          <w:szCs w:val="24"/>
        </w:rPr>
        <w:t>.</w:t>
      </w:r>
      <w:r w:rsidR="0055421C" w:rsidRPr="00695693">
        <w:rPr>
          <w:rFonts w:ascii="Times New Roman" w:hAnsi="Times New Roman" w:cs="Times New Roman"/>
          <w:sz w:val="24"/>
          <w:szCs w:val="24"/>
        </w:rPr>
        <w:t xml:space="preserve">Cette </w:t>
      </w:r>
      <w:r w:rsidRPr="00695693">
        <w:rPr>
          <w:rFonts w:ascii="Times New Roman" w:hAnsi="Times New Roman" w:cs="Times New Roman"/>
          <w:sz w:val="24"/>
          <w:szCs w:val="24"/>
        </w:rPr>
        <w:t>décision de renv</w:t>
      </w:r>
      <w:r w:rsidR="00357502" w:rsidRPr="00695693">
        <w:rPr>
          <w:rFonts w:ascii="Times New Roman" w:hAnsi="Times New Roman" w:cs="Times New Roman"/>
          <w:sz w:val="24"/>
          <w:szCs w:val="24"/>
        </w:rPr>
        <w:t>oi sera transmise à la Cour de j</w:t>
      </w:r>
      <w:r w:rsidRPr="00695693">
        <w:rPr>
          <w:rFonts w:ascii="Times New Roman" w:hAnsi="Times New Roman" w:cs="Times New Roman"/>
          <w:sz w:val="24"/>
          <w:szCs w:val="24"/>
        </w:rPr>
        <w:t xml:space="preserve">ustice en général de greffe à greffe. Autrement dit, le greffe de la juridiction nationale concernée transmettra la demande de </w:t>
      </w:r>
      <w:r w:rsidR="00357502" w:rsidRPr="00695693">
        <w:rPr>
          <w:rFonts w:ascii="Times New Roman" w:hAnsi="Times New Roman" w:cs="Times New Roman"/>
          <w:sz w:val="24"/>
          <w:szCs w:val="24"/>
        </w:rPr>
        <w:t>renvoi au greffe de la Cour de j</w:t>
      </w:r>
      <w:r w:rsidRPr="00695693">
        <w:rPr>
          <w:rFonts w:ascii="Times New Roman" w:hAnsi="Times New Roman" w:cs="Times New Roman"/>
          <w:sz w:val="24"/>
          <w:szCs w:val="24"/>
        </w:rPr>
        <w:t xml:space="preserve">ustice. Ce dernier va enregistrer la décision et la notifier logiquement aux parties en cause, aux Etats membres et à toute personne habilitée à participer à la procédure préjudicielle. C’est de là alors que </w:t>
      </w:r>
      <w:r w:rsidR="004A3416">
        <w:rPr>
          <w:rFonts w:ascii="Times New Roman" w:hAnsi="Times New Roman" w:cs="Times New Roman"/>
          <w:sz w:val="24"/>
          <w:szCs w:val="24"/>
        </w:rPr>
        <w:t xml:space="preserve">s’ouvre </w:t>
      </w:r>
      <w:r w:rsidR="0055421C" w:rsidRPr="00695693">
        <w:rPr>
          <w:rFonts w:ascii="Times New Roman" w:hAnsi="Times New Roman" w:cs="Times New Roman"/>
          <w:sz w:val="24"/>
          <w:szCs w:val="24"/>
        </w:rPr>
        <w:t>le déroulement de l’instance préjudicielle au niveau communautaire.</w:t>
      </w:r>
    </w:p>
    <w:p w:rsidR="00694424" w:rsidRPr="00802E04" w:rsidRDefault="007C0002" w:rsidP="0037430F">
      <w:pPr>
        <w:pStyle w:val="Titre5"/>
      </w:pPr>
      <w:bookmarkStart w:id="55" w:name="_Toc518672804"/>
      <w:r w:rsidRPr="00802E04">
        <w:t>B.</w:t>
      </w:r>
      <w:r w:rsidR="0055421C" w:rsidRPr="00802E04">
        <w:t>Le déroulement de l’instance préjudicielle au niveau communautaire</w:t>
      </w:r>
      <w:bookmarkEnd w:id="55"/>
    </w:p>
    <w:p w:rsidR="00345620" w:rsidRDefault="007C0002"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D</w:t>
      </w:r>
      <w:r w:rsidR="00694424" w:rsidRPr="00695693">
        <w:rPr>
          <w:rFonts w:ascii="Times New Roman" w:hAnsi="Times New Roman" w:cs="Times New Roman"/>
          <w:sz w:val="24"/>
          <w:szCs w:val="24"/>
        </w:rPr>
        <w:t>ès que la Cour de justice est saisie d’une question</w:t>
      </w:r>
      <w:r w:rsidR="00697FC8">
        <w:rPr>
          <w:rFonts w:ascii="Times New Roman" w:hAnsi="Times New Roman" w:cs="Times New Roman"/>
          <w:sz w:val="24"/>
          <w:szCs w:val="24"/>
        </w:rPr>
        <w:t xml:space="preserve"> préjudicielle</w:t>
      </w:r>
      <w:r w:rsidR="00694424" w:rsidRPr="00695693">
        <w:rPr>
          <w:rFonts w:ascii="Times New Roman" w:hAnsi="Times New Roman" w:cs="Times New Roman"/>
          <w:sz w:val="24"/>
          <w:szCs w:val="24"/>
        </w:rPr>
        <w:t>, elle procédera, après avoir vérifié sa compétence en la matière, à la vérification de la réunion des conditions de recevabilité de la requête. Dans la négative, c’est-à-dire si les conditions de recevabilité ne sont pas réunies, la Cour déclarera le renvoi irrecevable ; dans l’affirmative</w:t>
      </w:r>
      <w:r w:rsidR="00694424" w:rsidRPr="00695693">
        <w:rPr>
          <w:rStyle w:val="Appelnotedebasdep"/>
          <w:rFonts w:ascii="Times New Roman" w:hAnsi="Times New Roman" w:cs="Times New Roman"/>
          <w:sz w:val="24"/>
          <w:szCs w:val="24"/>
        </w:rPr>
        <w:footnoteReference w:id="192"/>
      </w:r>
      <w:r w:rsidR="00694424" w:rsidRPr="00695693">
        <w:rPr>
          <w:rFonts w:ascii="Times New Roman" w:hAnsi="Times New Roman" w:cs="Times New Roman"/>
          <w:sz w:val="24"/>
          <w:szCs w:val="24"/>
        </w:rPr>
        <w:t>,  la Cour procédera à l’examen du renvoi</w:t>
      </w:r>
      <w:r w:rsidRPr="00695693">
        <w:rPr>
          <w:rFonts w:ascii="Times New Roman" w:hAnsi="Times New Roman" w:cs="Times New Roman"/>
          <w:sz w:val="24"/>
          <w:szCs w:val="24"/>
        </w:rPr>
        <w:t xml:space="preserve"> afin de donner </w:t>
      </w:r>
      <w:r w:rsidR="00694424" w:rsidRPr="00695693">
        <w:rPr>
          <w:rFonts w:ascii="Times New Roman" w:hAnsi="Times New Roman" w:cs="Times New Roman"/>
          <w:sz w:val="24"/>
          <w:szCs w:val="24"/>
        </w:rPr>
        <w:t xml:space="preserve">effet à la question </w:t>
      </w:r>
      <w:r w:rsidR="00874B13">
        <w:rPr>
          <w:rFonts w:ascii="Times New Roman" w:hAnsi="Times New Roman" w:cs="Times New Roman"/>
          <w:sz w:val="24"/>
          <w:szCs w:val="24"/>
        </w:rPr>
        <w:t>nationale</w:t>
      </w:r>
      <w:r w:rsidR="00694424" w:rsidRPr="00695693">
        <w:rPr>
          <w:rFonts w:ascii="Times New Roman" w:hAnsi="Times New Roman" w:cs="Times New Roman"/>
          <w:sz w:val="24"/>
          <w:szCs w:val="24"/>
        </w:rPr>
        <w:t xml:space="preserve">. </w:t>
      </w:r>
      <w:r w:rsidR="00C2017E" w:rsidRPr="00695693">
        <w:rPr>
          <w:rFonts w:ascii="Times New Roman" w:hAnsi="Times New Roman" w:cs="Times New Roman"/>
          <w:sz w:val="24"/>
          <w:szCs w:val="24"/>
        </w:rPr>
        <w:t xml:space="preserve">L’examen du renvoi </w:t>
      </w:r>
      <w:r w:rsidR="00345620">
        <w:rPr>
          <w:rFonts w:ascii="Times New Roman" w:hAnsi="Times New Roman" w:cs="Times New Roman"/>
          <w:sz w:val="24"/>
          <w:szCs w:val="24"/>
        </w:rPr>
        <w:t>traduit en réalité la prise en charge de la question nationale pendant le déroulement de la procédure préjudicielle. Mais avant, il convient de noter que l’examen du renvoi exige d’abord que soit introduite la demande préjudicielle devant la Cour de justice.</w:t>
      </w:r>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lastRenderedPageBreak/>
        <w:t xml:space="preserve">S’agissant de l’introduction de la demande de renvoi préjudiciel, </w:t>
      </w:r>
      <w:r w:rsidR="006F512C">
        <w:rPr>
          <w:rFonts w:ascii="Times New Roman" w:hAnsi="Times New Roman" w:cs="Times New Roman"/>
          <w:sz w:val="24"/>
          <w:szCs w:val="24"/>
        </w:rPr>
        <w:t xml:space="preserve">il est opportun de rappeler qu’en </w:t>
      </w:r>
      <w:r w:rsidR="008D3D1B" w:rsidRPr="00695693">
        <w:rPr>
          <w:rFonts w:ascii="Times New Roman" w:hAnsi="Times New Roman" w:cs="Times New Roman"/>
          <w:sz w:val="24"/>
          <w:szCs w:val="24"/>
        </w:rPr>
        <w:t xml:space="preserve">droit CEDEAO, tout comme en droit UEMOA et européen, </w:t>
      </w:r>
      <w:r w:rsidRPr="00695693">
        <w:rPr>
          <w:rFonts w:ascii="Times New Roman" w:hAnsi="Times New Roman" w:cs="Times New Roman"/>
          <w:sz w:val="24"/>
          <w:szCs w:val="24"/>
        </w:rPr>
        <w:t>les textes ne prévoient aucune modalité particulière d</w:t>
      </w:r>
      <w:r w:rsidR="006F512C">
        <w:rPr>
          <w:rFonts w:ascii="Times New Roman" w:hAnsi="Times New Roman" w:cs="Times New Roman"/>
          <w:sz w:val="24"/>
          <w:szCs w:val="24"/>
        </w:rPr>
        <w:t>’introduction d</w:t>
      </w:r>
      <w:r w:rsidRPr="00695693">
        <w:rPr>
          <w:rFonts w:ascii="Times New Roman" w:hAnsi="Times New Roman" w:cs="Times New Roman"/>
          <w:sz w:val="24"/>
          <w:szCs w:val="24"/>
        </w:rPr>
        <w:t xml:space="preserve">e </w:t>
      </w:r>
      <w:r w:rsidR="006F512C">
        <w:rPr>
          <w:rFonts w:ascii="Times New Roman" w:hAnsi="Times New Roman" w:cs="Times New Roman"/>
          <w:sz w:val="24"/>
          <w:szCs w:val="24"/>
        </w:rPr>
        <w:t xml:space="preserve">la demande préjudicielle à la </w:t>
      </w:r>
      <w:r w:rsidRPr="00695693">
        <w:rPr>
          <w:rFonts w:ascii="Times New Roman" w:hAnsi="Times New Roman" w:cs="Times New Roman"/>
          <w:sz w:val="24"/>
          <w:szCs w:val="24"/>
        </w:rPr>
        <w:t xml:space="preserve">Cour </w:t>
      </w:r>
      <w:r w:rsidR="006F512C">
        <w:rPr>
          <w:rFonts w:ascii="Times New Roman" w:hAnsi="Times New Roman" w:cs="Times New Roman"/>
          <w:sz w:val="24"/>
          <w:szCs w:val="24"/>
        </w:rPr>
        <w:t>de justice de la communauté</w:t>
      </w:r>
      <w:r w:rsidRPr="00695693">
        <w:rPr>
          <w:rFonts w:ascii="Times New Roman" w:hAnsi="Times New Roman" w:cs="Times New Roman"/>
          <w:sz w:val="24"/>
          <w:szCs w:val="24"/>
        </w:rPr>
        <w:t xml:space="preserve">. </w:t>
      </w:r>
      <w:r w:rsidR="008D7774">
        <w:rPr>
          <w:rFonts w:ascii="Times New Roman" w:hAnsi="Times New Roman" w:cs="Times New Roman"/>
          <w:sz w:val="24"/>
          <w:szCs w:val="24"/>
        </w:rPr>
        <w:t>L</w:t>
      </w:r>
      <w:r w:rsidR="00D553A2">
        <w:rPr>
          <w:rFonts w:ascii="Times New Roman" w:hAnsi="Times New Roman" w:cs="Times New Roman"/>
          <w:sz w:val="24"/>
          <w:szCs w:val="24"/>
        </w:rPr>
        <w:t>es dispositions du règlement administratif d</w:t>
      </w:r>
      <w:r w:rsidR="008D7774">
        <w:rPr>
          <w:rFonts w:ascii="Times New Roman" w:hAnsi="Times New Roman" w:cs="Times New Roman"/>
          <w:sz w:val="24"/>
          <w:szCs w:val="24"/>
        </w:rPr>
        <w:t>e la Cour de justice de l’UEMOAde 2012 se bornent seulement à indiquer</w:t>
      </w:r>
      <w:r w:rsidR="00D553A2">
        <w:rPr>
          <w:rFonts w:ascii="Times New Roman" w:hAnsi="Times New Roman" w:cs="Times New Roman"/>
          <w:sz w:val="24"/>
          <w:szCs w:val="24"/>
        </w:rPr>
        <w:t xml:space="preserve"> que le juge national doit envoyer à la Cour de justice un exemplaire du dossier authentifié</w:t>
      </w:r>
      <w:r w:rsidR="00F57F29">
        <w:rPr>
          <w:rStyle w:val="Appelnotedebasdep"/>
          <w:rFonts w:ascii="Times New Roman" w:hAnsi="Times New Roman" w:cs="Times New Roman"/>
          <w:sz w:val="24"/>
          <w:szCs w:val="24"/>
        </w:rPr>
        <w:footnoteReference w:id="193"/>
      </w:r>
      <w:r w:rsidR="00D553A2">
        <w:rPr>
          <w:rFonts w:ascii="Times New Roman" w:hAnsi="Times New Roman" w:cs="Times New Roman"/>
          <w:sz w:val="24"/>
          <w:szCs w:val="24"/>
        </w:rPr>
        <w:t xml:space="preserve">. </w:t>
      </w:r>
      <w:r w:rsidR="00116312" w:rsidRPr="00695693">
        <w:rPr>
          <w:rFonts w:ascii="Times New Roman" w:hAnsi="Times New Roman" w:cs="Times New Roman"/>
          <w:sz w:val="24"/>
          <w:szCs w:val="24"/>
        </w:rPr>
        <w:t>C’est ainsi qu’</w:t>
      </w:r>
      <w:r w:rsidRPr="00695693">
        <w:rPr>
          <w:rFonts w:ascii="Times New Roman" w:hAnsi="Times New Roman" w:cs="Times New Roman"/>
          <w:sz w:val="24"/>
          <w:szCs w:val="24"/>
        </w:rPr>
        <w:t>il appartient alors aux juges nationaux de choisir</w:t>
      </w:r>
      <w:r w:rsidR="009C40A4" w:rsidRPr="00695693">
        <w:rPr>
          <w:rFonts w:ascii="Times New Roman" w:hAnsi="Times New Roman" w:cs="Times New Roman"/>
          <w:sz w:val="24"/>
          <w:szCs w:val="24"/>
        </w:rPr>
        <w:t>, comme il a été dit</w:t>
      </w:r>
      <w:r w:rsidR="00116312" w:rsidRPr="00695693">
        <w:rPr>
          <w:rFonts w:ascii="Times New Roman" w:hAnsi="Times New Roman" w:cs="Times New Roman"/>
          <w:sz w:val="24"/>
          <w:szCs w:val="24"/>
        </w:rPr>
        <w:t xml:space="preserve"> précédemment</w:t>
      </w:r>
      <w:r w:rsidR="009C40A4" w:rsidRPr="00695693">
        <w:rPr>
          <w:rFonts w:ascii="Times New Roman" w:hAnsi="Times New Roman" w:cs="Times New Roman"/>
          <w:sz w:val="24"/>
          <w:szCs w:val="24"/>
        </w:rPr>
        <w:t>,</w:t>
      </w:r>
      <w:r w:rsidRPr="00695693">
        <w:rPr>
          <w:rFonts w:ascii="Times New Roman" w:hAnsi="Times New Roman" w:cs="Times New Roman"/>
          <w:sz w:val="24"/>
          <w:szCs w:val="24"/>
        </w:rPr>
        <w:t xml:space="preserve"> le mode par lequel ils souhaitent int</w:t>
      </w:r>
      <w:r w:rsidR="004138EF">
        <w:rPr>
          <w:rFonts w:ascii="Times New Roman" w:hAnsi="Times New Roman" w:cs="Times New Roman"/>
          <w:sz w:val="24"/>
          <w:szCs w:val="24"/>
        </w:rPr>
        <w:t xml:space="preserve">roduire à la Cour la demande </w:t>
      </w:r>
      <w:r w:rsidRPr="00695693">
        <w:rPr>
          <w:rFonts w:ascii="Times New Roman" w:hAnsi="Times New Roman" w:cs="Times New Roman"/>
          <w:sz w:val="24"/>
          <w:szCs w:val="24"/>
        </w:rPr>
        <w:t>d’interprétation ou d’appréciation de validité d’une</w:t>
      </w:r>
      <w:r w:rsidR="00116312" w:rsidRPr="00695693">
        <w:rPr>
          <w:rFonts w:ascii="Times New Roman" w:hAnsi="Times New Roman" w:cs="Times New Roman"/>
          <w:sz w:val="24"/>
          <w:szCs w:val="24"/>
        </w:rPr>
        <w:t xml:space="preserve"> disposition du droit CEDEAO et de notifier</w:t>
      </w:r>
      <w:r w:rsidRPr="00695693">
        <w:rPr>
          <w:rFonts w:ascii="Times New Roman" w:hAnsi="Times New Roman" w:cs="Times New Roman"/>
          <w:sz w:val="24"/>
          <w:szCs w:val="24"/>
        </w:rPr>
        <w:t xml:space="preserve"> la décision de ren</w:t>
      </w:r>
      <w:r w:rsidR="00972B97" w:rsidRPr="00695693">
        <w:rPr>
          <w:rFonts w:ascii="Times New Roman" w:hAnsi="Times New Roman" w:cs="Times New Roman"/>
          <w:sz w:val="24"/>
          <w:szCs w:val="24"/>
        </w:rPr>
        <w:t xml:space="preserve">voi </w:t>
      </w:r>
      <w:r w:rsidR="00116312" w:rsidRPr="00695693">
        <w:rPr>
          <w:rFonts w:ascii="Times New Roman" w:hAnsi="Times New Roman" w:cs="Times New Roman"/>
          <w:sz w:val="24"/>
          <w:szCs w:val="24"/>
        </w:rPr>
        <w:t>au</w:t>
      </w:r>
      <w:r w:rsidR="004C1102">
        <w:rPr>
          <w:rFonts w:ascii="Times New Roman" w:hAnsi="Times New Roman" w:cs="Times New Roman"/>
          <w:sz w:val="24"/>
          <w:szCs w:val="24"/>
        </w:rPr>
        <w:t>greffe de la Cour de justice, en vue du déroulement de la procédure proprement dite.</w:t>
      </w:r>
    </w:p>
    <w:p w:rsidR="00314132" w:rsidRPr="00596E30" w:rsidRDefault="00694424" w:rsidP="00695693">
      <w:pPr>
        <w:spacing w:line="360" w:lineRule="auto"/>
        <w:jc w:val="both"/>
        <w:rPr>
          <w:rFonts w:ascii="Times New Roman" w:hAnsi="Times New Roman" w:cs="Times New Roman"/>
          <w:color w:val="FF0000"/>
          <w:sz w:val="24"/>
          <w:szCs w:val="24"/>
        </w:rPr>
      </w:pPr>
      <w:r w:rsidRPr="00695693">
        <w:rPr>
          <w:rFonts w:ascii="Times New Roman" w:hAnsi="Times New Roman" w:cs="Times New Roman"/>
          <w:sz w:val="24"/>
          <w:szCs w:val="24"/>
        </w:rPr>
        <w:t xml:space="preserve">S’agissant du déroulement de la procédure proprement dite, </w:t>
      </w:r>
      <w:r w:rsidR="00C65BA9">
        <w:rPr>
          <w:rFonts w:ascii="Times New Roman" w:hAnsi="Times New Roman" w:cs="Times New Roman"/>
          <w:sz w:val="24"/>
          <w:szCs w:val="24"/>
        </w:rPr>
        <w:t>il convient de rappeler qu’</w:t>
      </w:r>
      <w:r w:rsidR="00391D2D" w:rsidRPr="00695693">
        <w:rPr>
          <w:rFonts w:ascii="Times New Roman" w:hAnsi="Times New Roman" w:cs="Times New Roman"/>
          <w:sz w:val="24"/>
          <w:szCs w:val="24"/>
        </w:rPr>
        <w:t xml:space="preserve">en droit CEDEAO, </w:t>
      </w:r>
      <w:r w:rsidR="009E4294" w:rsidRPr="00695693">
        <w:rPr>
          <w:rFonts w:ascii="Times New Roman" w:hAnsi="Times New Roman" w:cs="Times New Roman"/>
          <w:sz w:val="24"/>
          <w:szCs w:val="24"/>
        </w:rPr>
        <w:t>t</w:t>
      </w:r>
      <w:r w:rsidRPr="00695693">
        <w:rPr>
          <w:rFonts w:ascii="Times New Roman" w:hAnsi="Times New Roman" w:cs="Times New Roman"/>
          <w:sz w:val="24"/>
          <w:szCs w:val="24"/>
        </w:rPr>
        <w:t xml:space="preserve">out comme en droit européen, UEMOA et CEMAC, la procédure </w:t>
      </w:r>
      <w:r w:rsidR="009E4294" w:rsidRPr="00695693">
        <w:rPr>
          <w:rFonts w:ascii="Times New Roman" w:hAnsi="Times New Roman" w:cs="Times New Roman"/>
          <w:sz w:val="24"/>
          <w:szCs w:val="24"/>
        </w:rPr>
        <w:t xml:space="preserve">se déroule </w:t>
      </w:r>
      <w:r w:rsidRPr="00695693">
        <w:rPr>
          <w:rFonts w:ascii="Times New Roman" w:hAnsi="Times New Roman" w:cs="Times New Roman"/>
          <w:sz w:val="24"/>
          <w:szCs w:val="24"/>
        </w:rPr>
        <w:t>en deux (2) phases : une phase écrite et une phase orale.En ce qui concerne la phase écrite,</w:t>
      </w:r>
      <w:r w:rsidR="00C65BA9">
        <w:rPr>
          <w:rFonts w:ascii="Times New Roman" w:hAnsi="Times New Roman" w:cs="Times New Roman"/>
          <w:sz w:val="24"/>
          <w:szCs w:val="24"/>
        </w:rPr>
        <w:t xml:space="preserve"> elle comprend d’abord l’enregistrement de la décision de renvoi</w:t>
      </w:r>
      <w:r w:rsidR="0052648E">
        <w:rPr>
          <w:rFonts w:ascii="Times New Roman" w:hAnsi="Times New Roman" w:cs="Times New Roman"/>
          <w:sz w:val="24"/>
          <w:szCs w:val="24"/>
        </w:rPr>
        <w:t>de la juridiction nationale, l</w:t>
      </w:r>
      <w:r w:rsidR="00C65BA9">
        <w:rPr>
          <w:rFonts w:ascii="Times New Roman" w:hAnsi="Times New Roman" w:cs="Times New Roman"/>
          <w:sz w:val="24"/>
          <w:szCs w:val="24"/>
        </w:rPr>
        <w:t xml:space="preserve">a traduction </w:t>
      </w:r>
      <w:r w:rsidR="0052648E">
        <w:rPr>
          <w:rFonts w:ascii="Times New Roman" w:hAnsi="Times New Roman" w:cs="Times New Roman"/>
          <w:sz w:val="24"/>
          <w:szCs w:val="24"/>
        </w:rPr>
        <w:t xml:space="preserve">de </w:t>
      </w:r>
      <w:r w:rsidR="00650A5E">
        <w:rPr>
          <w:rFonts w:ascii="Times New Roman" w:hAnsi="Times New Roman" w:cs="Times New Roman"/>
          <w:sz w:val="24"/>
          <w:szCs w:val="24"/>
        </w:rPr>
        <w:t xml:space="preserve">cette </w:t>
      </w:r>
      <w:r w:rsidR="0052648E">
        <w:rPr>
          <w:rFonts w:ascii="Times New Roman" w:hAnsi="Times New Roman" w:cs="Times New Roman"/>
          <w:sz w:val="24"/>
          <w:szCs w:val="24"/>
        </w:rPr>
        <w:t xml:space="preserve">décision </w:t>
      </w:r>
      <w:r w:rsidR="00C65BA9">
        <w:rPr>
          <w:rFonts w:ascii="Times New Roman" w:hAnsi="Times New Roman" w:cs="Times New Roman"/>
          <w:sz w:val="24"/>
          <w:szCs w:val="24"/>
        </w:rPr>
        <w:t xml:space="preserve">dans toutes les langues officielles de la communauté et sa notification tant aux parties en cause dans le litige devant la juridiction nationale, qu’à l’ensemble des Etats membres et aux </w:t>
      </w:r>
      <w:r w:rsidR="000C0C67">
        <w:rPr>
          <w:rFonts w:ascii="Times New Roman" w:hAnsi="Times New Roman" w:cs="Times New Roman"/>
          <w:sz w:val="24"/>
          <w:szCs w:val="24"/>
        </w:rPr>
        <w:t xml:space="preserve">organes </w:t>
      </w:r>
      <w:r w:rsidR="00C65BA9">
        <w:rPr>
          <w:rFonts w:ascii="Times New Roman" w:hAnsi="Times New Roman" w:cs="Times New Roman"/>
          <w:sz w:val="24"/>
          <w:szCs w:val="24"/>
        </w:rPr>
        <w:t>de la communauté</w:t>
      </w:r>
      <w:r w:rsidR="00C65BA9">
        <w:rPr>
          <w:rStyle w:val="Appelnotedebasdep"/>
          <w:rFonts w:ascii="Times New Roman" w:hAnsi="Times New Roman" w:cs="Times New Roman"/>
          <w:sz w:val="24"/>
          <w:szCs w:val="24"/>
        </w:rPr>
        <w:footnoteReference w:id="194"/>
      </w:r>
      <w:r w:rsidR="00590A2F">
        <w:rPr>
          <w:rFonts w:ascii="Times New Roman" w:hAnsi="Times New Roman" w:cs="Times New Roman"/>
          <w:sz w:val="24"/>
          <w:szCs w:val="24"/>
        </w:rPr>
        <w:t xml:space="preserve">. </w:t>
      </w:r>
      <w:r w:rsidR="00590A2F" w:rsidRPr="00D32C62">
        <w:rPr>
          <w:rFonts w:ascii="Times New Roman" w:hAnsi="Times New Roman" w:cs="Times New Roman"/>
          <w:sz w:val="24"/>
          <w:szCs w:val="24"/>
        </w:rPr>
        <w:t>E</w:t>
      </w:r>
      <w:r w:rsidR="00061191" w:rsidRPr="00D32C62">
        <w:rPr>
          <w:rFonts w:ascii="Times New Roman" w:hAnsi="Times New Roman" w:cs="Times New Roman"/>
          <w:sz w:val="24"/>
          <w:szCs w:val="24"/>
        </w:rPr>
        <w:t xml:space="preserve">lle </w:t>
      </w:r>
      <w:r w:rsidR="009D21C6" w:rsidRPr="00D32C62">
        <w:rPr>
          <w:rFonts w:ascii="Times New Roman" w:hAnsi="Times New Roman" w:cs="Times New Roman"/>
          <w:sz w:val="24"/>
          <w:szCs w:val="24"/>
        </w:rPr>
        <w:t xml:space="preserve">comprend </w:t>
      </w:r>
      <w:r w:rsidR="00590A2F" w:rsidRPr="00D32C62">
        <w:rPr>
          <w:rFonts w:ascii="Times New Roman" w:hAnsi="Times New Roman" w:cs="Times New Roman"/>
          <w:sz w:val="24"/>
          <w:szCs w:val="24"/>
        </w:rPr>
        <w:t xml:space="preserve">ensuite, </w:t>
      </w:r>
      <w:r w:rsidR="009D21C6">
        <w:rPr>
          <w:rFonts w:ascii="Times New Roman" w:hAnsi="Times New Roman" w:cs="Times New Roman"/>
          <w:sz w:val="24"/>
          <w:szCs w:val="24"/>
        </w:rPr>
        <w:t>le dépôt du mémoire des parties litigeantes</w:t>
      </w:r>
      <w:r w:rsidR="009B707A">
        <w:rPr>
          <w:rStyle w:val="Appelnotedebasdep"/>
          <w:rFonts w:ascii="Times New Roman" w:hAnsi="Times New Roman" w:cs="Times New Roman"/>
          <w:sz w:val="24"/>
          <w:szCs w:val="24"/>
        </w:rPr>
        <w:footnoteReference w:id="195"/>
      </w:r>
      <w:r w:rsidR="009D21C6">
        <w:rPr>
          <w:rFonts w:ascii="Times New Roman" w:hAnsi="Times New Roman" w:cs="Times New Roman"/>
          <w:sz w:val="24"/>
          <w:szCs w:val="24"/>
        </w:rPr>
        <w:t xml:space="preserve"> et </w:t>
      </w:r>
      <w:r w:rsidR="00590A2F">
        <w:rPr>
          <w:rFonts w:ascii="Times New Roman" w:hAnsi="Times New Roman" w:cs="Times New Roman"/>
          <w:sz w:val="24"/>
          <w:szCs w:val="24"/>
        </w:rPr>
        <w:t>la publication au Journal officiel de la communauté de la procédure</w:t>
      </w:r>
      <w:r w:rsidR="00FF2BDF">
        <w:rPr>
          <w:rFonts w:ascii="Times New Roman" w:hAnsi="Times New Roman" w:cs="Times New Roman"/>
          <w:sz w:val="24"/>
          <w:szCs w:val="24"/>
        </w:rPr>
        <w:t xml:space="preserve"> en cours</w:t>
      </w:r>
      <w:r w:rsidR="00FF2BDF">
        <w:rPr>
          <w:rStyle w:val="Appelnotedebasdep"/>
          <w:rFonts w:ascii="Times New Roman" w:hAnsi="Times New Roman" w:cs="Times New Roman"/>
          <w:sz w:val="24"/>
          <w:szCs w:val="24"/>
        </w:rPr>
        <w:footnoteReference w:id="196"/>
      </w:r>
      <w:r w:rsidR="009D21C6">
        <w:rPr>
          <w:rFonts w:ascii="Times New Roman" w:hAnsi="Times New Roman" w:cs="Times New Roman"/>
          <w:sz w:val="24"/>
          <w:szCs w:val="24"/>
        </w:rPr>
        <w:t xml:space="preserve">. </w:t>
      </w:r>
      <w:r w:rsidR="00342A17">
        <w:rPr>
          <w:rFonts w:ascii="Times New Roman" w:hAnsi="Times New Roman" w:cs="Times New Roman"/>
          <w:sz w:val="24"/>
          <w:szCs w:val="24"/>
        </w:rPr>
        <w:t>Tous les destinataires de la notification sont habilités à participer à la procédure préjudicielle</w:t>
      </w:r>
      <w:r w:rsidR="00342A17">
        <w:rPr>
          <w:rStyle w:val="Appelnotedebasdep"/>
          <w:rFonts w:ascii="Times New Roman" w:hAnsi="Times New Roman" w:cs="Times New Roman"/>
          <w:sz w:val="24"/>
          <w:szCs w:val="24"/>
        </w:rPr>
        <w:footnoteReference w:id="197"/>
      </w:r>
      <w:r w:rsidR="00F6515F">
        <w:rPr>
          <w:rFonts w:ascii="Times New Roman" w:hAnsi="Times New Roman" w:cs="Times New Roman"/>
          <w:sz w:val="24"/>
          <w:szCs w:val="24"/>
        </w:rPr>
        <w:t xml:space="preserve"> et peuvent </w:t>
      </w:r>
      <w:r w:rsidR="000E4254">
        <w:rPr>
          <w:rFonts w:ascii="Times New Roman" w:hAnsi="Times New Roman" w:cs="Times New Roman"/>
          <w:sz w:val="24"/>
          <w:szCs w:val="24"/>
        </w:rPr>
        <w:t>présenter</w:t>
      </w:r>
      <w:r w:rsidR="00F6515F">
        <w:rPr>
          <w:rFonts w:ascii="Times New Roman" w:hAnsi="Times New Roman" w:cs="Times New Roman"/>
          <w:sz w:val="24"/>
          <w:szCs w:val="24"/>
        </w:rPr>
        <w:t xml:space="preserve">, en conséquence, </w:t>
      </w:r>
      <w:r w:rsidR="000E4254">
        <w:rPr>
          <w:rFonts w:ascii="Times New Roman" w:hAnsi="Times New Roman" w:cs="Times New Roman"/>
          <w:sz w:val="24"/>
          <w:szCs w:val="24"/>
        </w:rPr>
        <w:t>des observations, dans un délai qui ne saurait être inférieur à deux mois</w:t>
      </w:r>
      <w:r w:rsidR="00051C27">
        <w:rPr>
          <w:rStyle w:val="Appelnotedebasdep"/>
          <w:rFonts w:ascii="Times New Roman" w:hAnsi="Times New Roman" w:cs="Times New Roman"/>
          <w:sz w:val="24"/>
          <w:szCs w:val="24"/>
        </w:rPr>
        <w:footnoteReference w:id="198"/>
      </w:r>
      <w:r w:rsidR="000E4254">
        <w:rPr>
          <w:rFonts w:ascii="Times New Roman" w:hAnsi="Times New Roman" w:cs="Times New Roman"/>
          <w:sz w:val="24"/>
          <w:szCs w:val="24"/>
        </w:rPr>
        <w:t>, tendant à faciliter la tâche de la Cour dans sa mission préjudicielle.</w:t>
      </w:r>
      <w:r w:rsidR="007474D2">
        <w:rPr>
          <w:rFonts w:ascii="Times New Roman" w:hAnsi="Times New Roman" w:cs="Times New Roman"/>
          <w:sz w:val="24"/>
          <w:szCs w:val="24"/>
        </w:rPr>
        <w:t xml:space="preserve">En effet, la procédure préjudicielle </w:t>
      </w:r>
      <w:r w:rsidR="009D21C6">
        <w:rPr>
          <w:rFonts w:ascii="Times New Roman" w:hAnsi="Times New Roman" w:cs="Times New Roman"/>
          <w:sz w:val="24"/>
          <w:szCs w:val="24"/>
        </w:rPr>
        <w:t>n’est pas contradictoire</w:t>
      </w:r>
      <w:r w:rsidR="007474D2">
        <w:rPr>
          <w:rFonts w:ascii="Times New Roman" w:hAnsi="Times New Roman" w:cs="Times New Roman"/>
          <w:sz w:val="24"/>
          <w:szCs w:val="24"/>
        </w:rPr>
        <w:t>, car</w:t>
      </w:r>
      <w:r w:rsidR="009D21C6">
        <w:rPr>
          <w:rFonts w:ascii="Times New Roman" w:hAnsi="Times New Roman" w:cs="Times New Roman"/>
          <w:sz w:val="24"/>
          <w:szCs w:val="24"/>
        </w:rPr>
        <w:t xml:space="preserve"> il n’y a pas de réplique et duplique</w:t>
      </w:r>
      <w:r w:rsidR="00C475B9">
        <w:rPr>
          <w:rStyle w:val="Appelnotedebasdep"/>
          <w:rFonts w:ascii="Times New Roman" w:hAnsi="Times New Roman" w:cs="Times New Roman"/>
          <w:sz w:val="24"/>
          <w:szCs w:val="24"/>
        </w:rPr>
        <w:footnoteReference w:id="199"/>
      </w:r>
      <w:r w:rsidR="00F86DEF">
        <w:rPr>
          <w:rFonts w:ascii="Times New Roman" w:hAnsi="Times New Roman" w:cs="Times New Roman"/>
          <w:sz w:val="24"/>
          <w:szCs w:val="24"/>
        </w:rPr>
        <w:t>.</w:t>
      </w:r>
      <w:r w:rsidR="007474D2">
        <w:rPr>
          <w:rFonts w:ascii="Times New Roman" w:hAnsi="Times New Roman" w:cs="Times New Roman"/>
          <w:sz w:val="24"/>
          <w:szCs w:val="24"/>
        </w:rPr>
        <w:t xml:space="preserve">Cette précision peut s’avérer </w:t>
      </w:r>
      <w:r w:rsidR="00563600">
        <w:rPr>
          <w:rFonts w:ascii="Times New Roman" w:hAnsi="Times New Roman" w:cs="Times New Roman"/>
          <w:sz w:val="24"/>
          <w:szCs w:val="24"/>
        </w:rPr>
        <w:t xml:space="preserve">intéressante </w:t>
      </w:r>
      <w:r w:rsidR="007474D2">
        <w:rPr>
          <w:rFonts w:ascii="Times New Roman" w:hAnsi="Times New Roman" w:cs="Times New Roman"/>
          <w:sz w:val="24"/>
          <w:szCs w:val="24"/>
        </w:rPr>
        <w:t xml:space="preserve">dans la mesure où les parties produisent un seul mémoire et elles ne réagissent </w:t>
      </w:r>
      <w:r w:rsidR="007474D2">
        <w:rPr>
          <w:rFonts w:ascii="Times New Roman" w:hAnsi="Times New Roman" w:cs="Times New Roman"/>
          <w:sz w:val="24"/>
          <w:szCs w:val="24"/>
        </w:rPr>
        <w:lastRenderedPageBreak/>
        <w:t>pas au mémoire de l’autre partie</w:t>
      </w:r>
      <w:r w:rsidR="007474D2">
        <w:rPr>
          <w:rStyle w:val="Appelnotedebasdep"/>
          <w:rFonts w:ascii="Times New Roman" w:hAnsi="Times New Roman" w:cs="Times New Roman"/>
          <w:sz w:val="24"/>
          <w:szCs w:val="24"/>
        </w:rPr>
        <w:footnoteReference w:id="200"/>
      </w:r>
      <w:r w:rsidR="008D6770">
        <w:rPr>
          <w:rFonts w:ascii="Times New Roman" w:hAnsi="Times New Roman" w:cs="Times New Roman"/>
          <w:sz w:val="24"/>
          <w:szCs w:val="24"/>
        </w:rPr>
        <w:t>. Ces mémoires et observations, qui doivent être déposées dans un délai n’excédant pas deux mois, ne peuvent pas aller au-delà des questions préjudicielles posées par la juridiction de renvoi. Autrement dit, ils ne peuvent pas tendre à modifier le contenu ou la portée de ces questions en essayant de faire dire à la Cour quelque chose qui n’est pas visé par les questions posées par le juge de renvoi</w:t>
      </w:r>
      <w:r w:rsidR="008D6770">
        <w:rPr>
          <w:rStyle w:val="Appelnotedebasdep"/>
          <w:rFonts w:ascii="Times New Roman" w:hAnsi="Times New Roman" w:cs="Times New Roman"/>
          <w:sz w:val="24"/>
          <w:szCs w:val="24"/>
        </w:rPr>
        <w:footnoteReference w:id="201"/>
      </w:r>
      <w:r w:rsidR="00D32C62">
        <w:rPr>
          <w:rFonts w:ascii="Times New Roman" w:hAnsi="Times New Roman" w:cs="Times New Roman"/>
          <w:sz w:val="24"/>
          <w:szCs w:val="24"/>
        </w:rPr>
        <w:t xml:space="preserve">. Enfin, lors de la procédure, </w:t>
      </w:r>
      <w:r w:rsidR="00D32C62" w:rsidRPr="00D32C62">
        <w:rPr>
          <w:rFonts w:ascii="Times New Roman" w:hAnsi="Times New Roman" w:cs="Times New Roman"/>
          <w:sz w:val="24"/>
          <w:szCs w:val="24"/>
        </w:rPr>
        <w:t>l</w:t>
      </w:r>
      <w:r w:rsidR="00B46273" w:rsidRPr="00D32C62">
        <w:rPr>
          <w:rFonts w:ascii="Times New Roman" w:hAnsi="Times New Roman" w:cs="Times New Roman"/>
          <w:sz w:val="24"/>
          <w:szCs w:val="24"/>
        </w:rPr>
        <w:t xml:space="preserve">a </w:t>
      </w:r>
      <w:r w:rsidRPr="00D32C62">
        <w:rPr>
          <w:rFonts w:ascii="Times New Roman" w:hAnsi="Times New Roman" w:cs="Times New Roman"/>
          <w:sz w:val="24"/>
          <w:szCs w:val="24"/>
        </w:rPr>
        <w:t xml:space="preserve">Cour </w:t>
      </w:r>
      <w:r w:rsidRPr="00695693">
        <w:rPr>
          <w:rFonts w:ascii="Times New Roman" w:hAnsi="Times New Roman" w:cs="Times New Roman"/>
          <w:sz w:val="24"/>
          <w:szCs w:val="24"/>
        </w:rPr>
        <w:t>désigne</w:t>
      </w:r>
      <w:r w:rsidR="001A0FC9" w:rsidRPr="00695693">
        <w:rPr>
          <w:rFonts w:ascii="Times New Roman" w:hAnsi="Times New Roman" w:cs="Times New Roman"/>
          <w:sz w:val="24"/>
          <w:szCs w:val="24"/>
        </w:rPr>
        <w:t>ra</w:t>
      </w:r>
      <w:r w:rsidRPr="00695693">
        <w:rPr>
          <w:rFonts w:ascii="Times New Roman" w:hAnsi="Times New Roman" w:cs="Times New Roman"/>
          <w:sz w:val="24"/>
          <w:szCs w:val="24"/>
        </w:rPr>
        <w:t xml:space="preserve"> un juge r</w:t>
      </w:r>
      <w:r w:rsidR="00D32C62">
        <w:rPr>
          <w:rFonts w:ascii="Times New Roman" w:hAnsi="Times New Roman" w:cs="Times New Roman"/>
          <w:sz w:val="24"/>
          <w:szCs w:val="24"/>
        </w:rPr>
        <w:t>apporteur qui examine l’affaire en proposant</w:t>
      </w:r>
      <w:r w:rsidRPr="00695693">
        <w:rPr>
          <w:rFonts w:ascii="Times New Roman" w:hAnsi="Times New Roman" w:cs="Times New Roman"/>
          <w:sz w:val="24"/>
          <w:szCs w:val="24"/>
        </w:rPr>
        <w:t xml:space="preserve"> un rapport préalable de jugement sur la base duquel la Cour va se prononcer, après avoir écouté l’Avocat général, les parties en cause et toute personne habilitée à participer</w:t>
      </w:r>
      <w:r w:rsidR="00D32C62">
        <w:rPr>
          <w:rFonts w:ascii="Times New Roman" w:hAnsi="Times New Roman" w:cs="Times New Roman"/>
          <w:sz w:val="24"/>
          <w:szCs w:val="24"/>
        </w:rPr>
        <w:t xml:space="preserve"> à la procédure préjudicielle. C</w:t>
      </w:r>
      <w:r w:rsidRPr="00695693">
        <w:rPr>
          <w:rFonts w:ascii="Times New Roman" w:hAnsi="Times New Roman" w:cs="Times New Roman"/>
          <w:sz w:val="24"/>
          <w:szCs w:val="24"/>
        </w:rPr>
        <w:t xml:space="preserve">e rapport préalable du juge rapporteur doit comporter des propositions </w:t>
      </w:r>
      <w:r w:rsidR="004B11DA">
        <w:rPr>
          <w:rFonts w:ascii="Times New Roman" w:hAnsi="Times New Roman" w:cs="Times New Roman"/>
          <w:sz w:val="24"/>
          <w:szCs w:val="24"/>
        </w:rPr>
        <w:t xml:space="preserve">de jugement </w:t>
      </w:r>
      <w:r w:rsidRPr="00695693">
        <w:rPr>
          <w:rFonts w:ascii="Times New Roman" w:hAnsi="Times New Roman" w:cs="Times New Roman"/>
          <w:sz w:val="24"/>
          <w:szCs w:val="24"/>
        </w:rPr>
        <w:t>sur la question en cause</w:t>
      </w:r>
      <w:r w:rsidRPr="00695693">
        <w:rPr>
          <w:rStyle w:val="Appelnotedebasdep"/>
          <w:rFonts w:ascii="Times New Roman" w:hAnsi="Times New Roman" w:cs="Times New Roman"/>
          <w:sz w:val="24"/>
          <w:szCs w:val="24"/>
        </w:rPr>
        <w:footnoteReference w:id="202"/>
      </w:r>
      <w:r w:rsidR="00391D2D" w:rsidRPr="00695693">
        <w:rPr>
          <w:rFonts w:ascii="Times New Roman" w:hAnsi="Times New Roman" w:cs="Times New Roman"/>
          <w:sz w:val="24"/>
          <w:szCs w:val="24"/>
        </w:rPr>
        <w:t xml:space="preserve">. </w:t>
      </w:r>
      <w:r w:rsidRPr="00695693">
        <w:rPr>
          <w:rFonts w:ascii="Times New Roman" w:hAnsi="Times New Roman" w:cs="Times New Roman"/>
          <w:sz w:val="24"/>
          <w:szCs w:val="24"/>
        </w:rPr>
        <w:t xml:space="preserve">En ce qui concerne la phase orale, </w:t>
      </w:r>
      <w:r w:rsidR="004A628F">
        <w:rPr>
          <w:rFonts w:ascii="Times New Roman" w:hAnsi="Times New Roman" w:cs="Times New Roman"/>
          <w:sz w:val="24"/>
          <w:szCs w:val="24"/>
        </w:rPr>
        <w:t>il est reconnu à la Cour, sur proposition du juge rapporteur et l’Avocat général entendu, la faculté d’exclure cette phase</w:t>
      </w:r>
      <w:r w:rsidR="004A628F">
        <w:rPr>
          <w:rStyle w:val="Appelnotedebasdep"/>
          <w:rFonts w:ascii="Times New Roman" w:hAnsi="Times New Roman" w:cs="Times New Roman"/>
          <w:sz w:val="24"/>
          <w:szCs w:val="24"/>
        </w:rPr>
        <w:footnoteReference w:id="203"/>
      </w:r>
      <w:r w:rsidR="005B07BF">
        <w:rPr>
          <w:rFonts w:ascii="Times New Roman" w:hAnsi="Times New Roman" w:cs="Times New Roman"/>
          <w:sz w:val="24"/>
          <w:szCs w:val="24"/>
        </w:rPr>
        <w:t>. C’est ce qu’exprime le professeur Luc Marius IBRIGA</w:t>
      </w:r>
      <w:r w:rsidR="00764DF7">
        <w:rPr>
          <w:rFonts w:ascii="Times New Roman" w:hAnsi="Times New Roman" w:cs="Times New Roman"/>
          <w:sz w:val="24"/>
          <w:szCs w:val="24"/>
        </w:rPr>
        <w:t xml:space="preserve">lorsqu’il affirmait que </w:t>
      </w:r>
      <w:r w:rsidR="00391D2D" w:rsidRPr="00695693">
        <w:rPr>
          <w:rFonts w:ascii="Times New Roman" w:hAnsi="Times New Roman" w:cs="Times New Roman"/>
          <w:sz w:val="24"/>
          <w:szCs w:val="24"/>
        </w:rPr>
        <w:t>«</w:t>
      </w:r>
      <w:r w:rsidR="00764DF7">
        <w:rPr>
          <w:rFonts w:ascii="Times New Roman" w:hAnsi="Times New Roman" w:cs="Times New Roman"/>
          <w:sz w:val="24"/>
          <w:szCs w:val="24"/>
        </w:rPr>
        <w:t>…</w:t>
      </w:r>
      <w:r w:rsidRPr="00695693">
        <w:rPr>
          <w:rFonts w:ascii="Times New Roman" w:hAnsi="Times New Roman" w:cs="Times New Roman"/>
          <w:i/>
          <w:sz w:val="24"/>
          <w:szCs w:val="24"/>
        </w:rPr>
        <w:t>la Cour peut, après avoir informé les intéressés qu’ils ont le droit de déposer des mémoires ou des observations, et ces derniers ne désirent pas être entendus en leurs observations orales, l’Avocat général entendu, décider de statuer autrement</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204"/>
      </w:r>
      <w:r w:rsidRPr="00695693">
        <w:rPr>
          <w:rFonts w:ascii="Times New Roman" w:hAnsi="Times New Roman" w:cs="Times New Roman"/>
          <w:sz w:val="24"/>
          <w:szCs w:val="24"/>
        </w:rPr>
        <w:t>.</w:t>
      </w:r>
      <w:r w:rsidR="00B46273">
        <w:rPr>
          <w:rFonts w:ascii="Times New Roman" w:hAnsi="Times New Roman" w:cs="Times New Roman"/>
          <w:sz w:val="24"/>
          <w:szCs w:val="24"/>
        </w:rPr>
        <w:t>Cependant, la Cour décide généralement de mettre en œuvre cette phase dès lors que les observations reçues ne sont pas suffisantes pour l’éclairer. Le délai entre cette phase et le prononcé de l’arrêt de la Cour est variable et dépend</w:t>
      </w:r>
      <w:r w:rsidR="00CD0CD2">
        <w:rPr>
          <w:rFonts w:ascii="Times New Roman" w:hAnsi="Times New Roman" w:cs="Times New Roman"/>
          <w:sz w:val="24"/>
          <w:szCs w:val="24"/>
        </w:rPr>
        <w:t xml:space="preserve"> en réalité</w:t>
      </w:r>
      <w:r w:rsidR="00B46273">
        <w:rPr>
          <w:rFonts w:ascii="Times New Roman" w:hAnsi="Times New Roman" w:cs="Times New Roman"/>
          <w:sz w:val="24"/>
          <w:szCs w:val="24"/>
        </w:rPr>
        <w:t xml:space="preserve"> de la </w:t>
      </w:r>
      <w:r w:rsidR="0017781A">
        <w:rPr>
          <w:rFonts w:ascii="Times New Roman" w:hAnsi="Times New Roman" w:cs="Times New Roman"/>
          <w:sz w:val="24"/>
          <w:szCs w:val="24"/>
        </w:rPr>
        <w:t>complexité</w:t>
      </w:r>
      <w:r w:rsidR="00B46273">
        <w:rPr>
          <w:rFonts w:ascii="Times New Roman" w:hAnsi="Times New Roman" w:cs="Times New Roman"/>
          <w:sz w:val="24"/>
          <w:szCs w:val="24"/>
        </w:rPr>
        <w:t xml:space="preserve"> de l’affaire. Une fois que la Cour a rendu son </w:t>
      </w:r>
      <w:r w:rsidR="0017781A">
        <w:rPr>
          <w:rFonts w:ascii="Times New Roman" w:hAnsi="Times New Roman" w:cs="Times New Roman"/>
          <w:sz w:val="24"/>
          <w:szCs w:val="24"/>
        </w:rPr>
        <w:t>arrêt</w:t>
      </w:r>
      <w:r w:rsidR="00B46273">
        <w:rPr>
          <w:rFonts w:ascii="Times New Roman" w:hAnsi="Times New Roman" w:cs="Times New Roman"/>
          <w:sz w:val="24"/>
          <w:szCs w:val="24"/>
        </w:rPr>
        <w:t>,</w:t>
      </w:r>
      <w:r w:rsidR="0017781A">
        <w:rPr>
          <w:rFonts w:ascii="Times New Roman" w:hAnsi="Times New Roman" w:cs="Times New Roman"/>
          <w:sz w:val="24"/>
          <w:szCs w:val="24"/>
        </w:rPr>
        <w:t xml:space="preserve"> ce dernier est transmis au juge de renvoi, lequel devra le prendre en compte pour la suite de la résolution du litige national. </w:t>
      </w:r>
      <w:r w:rsidR="00314132">
        <w:rPr>
          <w:rFonts w:ascii="Times New Roman" w:hAnsi="Times New Roman" w:cs="Times New Roman"/>
          <w:sz w:val="24"/>
          <w:szCs w:val="24"/>
        </w:rPr>
        <w:t>Si la Cour a reçu donc compétence exclusive en matière du renvoi préjudiciel, les arrêts rendus se doivent de produire la plénitude de leurs effets.</w:t>
      </w:r>
    </w:p>
    <w:p w:rsidR="00DB12E5" w:rsidRPr="00802E04" w:rsidRDefault="00AD3D1C" w:rsidP="002F7CA3">
      <w:pPr>
        <w:pStyle w:val="Titre4"/>
      </w:pPr>
      <w:bookmarkStart w:id="56" w:name="_Toc518672805"/>
      <w:r w:rsidRPr="00802E04">
        <w:t>§ 2</w:t>
      </w:r>
      <w:r w:rsidR="00DB12E5" w:rsidRPr="00802E04">
        <w:t> : Les effets de l’arrêt préjudiciel</w:t>
      </w:r>
      <w:bookmarkEnd w:id="56"/>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L</w:t>
      </w:r>
      <w:r w:rsidR="00E27518">
        <w:rPr>
          <w:rFonts w:ascii="Times New Roman" w:hAnsi="Times New Roman" w:cs="Times New Roman"/>
          <w:sz w:val="24"/>
          <w:szCs w:val="24"/>
        </w:rPr>
        <w:t>a question de la portée des arrêts de renvoi a fait l’objet d’un débat doctrinal</w:t>
      </w:r>
      <w:r w:rsidR="000B2591">
        <w:rPr>
          <w:rStyle w:val="Appelnotedebasdep"/>
          <w:rFonts w:ascii="Times New Roman" w:hAnsi="Times New Roman" w:cs="Times New Roman"/>
          <w:sz w:val="24"/>
          <w:szCs w:val="24"/>
        </w:rPr>
        <w:footnoteReference w:id="205"/>
      </w:r>
      <w:r w:rsidR="00E27518">
        <w:rPr>
          <w:rFonts w:ascii="Times New Roman" w:hAnsi="Times New Roman" w:cs="Times New Roman"/>
          <w:sz w:val="24"/>
          <w:szCs w:val="24"/>
        </w:rPr>
        <w:t xml:space="preserve"> avant de </w:t>
      </w:r>
      <w:r w:rsidR="003A424D">
        <w:rPr>
          <w:rFonts w:ascii="Times New Roman" w:hAnsi="Times New Roman" w:cs="Times New Roman"/>
          <w:sz w:val="24"/>
          <w:szCs w:val="24"/>
        </w:rPr>
        <w:t xml:space="preserve">reconnaitre </w:t>
      </w:r>
      <w:r w:rsidR="00E27518">
        <w:rPr>
          <w:rFonts w:ascii="Times New Roman" w:hAnsi="Times New Roman" w:cs="Times New Roman"/>
          <w:sz w:val="24"/>
          <w:szCs w:val="24"/>
        </w:rPr>
        <w:t>qu’en réalité l</w:t>
      </w:r>
      <w:r w:rsidRPr="00695693">
        <w:rPr>
          <w:rFonts w:ascii="Times New Roman" w:hAnsi="Times New Roman" w:cs="Times New Roman"/>
          <w:sz w:val="24"/>
          <w:szCs w:val="24"/>
        </w:rPr>
        <w:t xml:space="preserve">’arrêt </w:t>
      </w:r>
      <w:r w:rsidR="00E27518">
        <w:rPr>
          <w:rFonts w:ascii="Times New Roman" w:hAnsi="Times New Roman" w:cs="Times New Roman"/>
          <w:sz w:val="24"/>
          <w:szCs w:val="24"/>
        </w:rPr>
        <w:t xml:space="preserve">préjudiciel </w:t>
      </w:r>
      <w:r w:rsidRPr="00695693">
        <w:rPr>
          <w:rFonts w:ascii="Times New Roman" w:hAnsi="Times New Roman" w:cs="Times New Roman"/>
          <w:sz w:val="24"/>
          <w:szCs w:val="24"/>
        </w:rPr>
        <w:t xml:space="preserve">s’impose </w:t>
      </w:r>
      <w:r w:rsidR="00E27518">
        <w:rPr>
          <w:rFonts w:ascii="Times New Roman" w:hAnsi="Times New Roman" w:cs="Times New Roman"/>
          <w:sz w:val="24"/>
          <w:szCs w:val="24"/>
        </w:rPr>
        <w:t xml:space="preserve">tant </w:t>
      </w:r>
      <w:r w:rsidRPr="00695693">
        <w:rPr>
          <w:rFonts w:ascii="Times New Roman" w:hAnsi="Times New Roman" w:cs="Times New Roman"/>
          <w:sz w:val="24"/>
          <w:szCs w:val="24"/>
        </w:rPr>
        <w:t xml:space="preserve">à la juridiction nationale qui a </w:t>
      </w:r>
      <w:r w:rsidRPr="00695693">
        <w:rPr>
          <w:rFonts w:ascii="Times New Roman" w:hAnsi="Times New Roman" w:cs="Times New Roman"/>
          <w:sz w:val="24"/>
          <w:szCs w:val="24"/>
        </w:rPr>
        <w:lastRenderedPageBreak/>
        <w:t>provoqué la question qu’à toute</w:t>
      </w:r>
      <w:r w:rsidR="00A26006" w:rsidRPr="00695693">
        <w:rPr>
          <w:rFonts w:ascii="Times New Roman" w:hAnsi="Times New Roman" w:cs="Times New Roman"/>
          <w:sz w:val="24"/>
          <w:szCs w:val="24"/>
        </w:rPr>
        <w:t>s les</w:t>
      </w:r>
      <w:r w:rsidRPr="00695693">
        <w:rPr>
          <w:rFonts w:ascii="Times New Roman" w:hAnsi="Times New Roman" w:cs="Times New Roman"/>
          <w:sz w:val="24"/>
          <w:szCs w:val="24"/>
        </w:rPr>
        <w:t xml:space="preserve"> autre</w:t>
      </w:r>
      <w:r w:rsidR="00A26006" w:rsidRPr="00695693">
        <w:rPr>
          <w:rFonts w:ascii="Times New Roman" w:hAnsi="Times New Roman" w:cs="Times New Roman"/>
          <w:sz w:val="24"/>
          <w:szCs w:val="24"/>
        </w:rPr>
        <w:t>s</w:t>
      </w:r>
      <w:r w:rsidRPr="00695693">
        <w:rPr>
          <w:rFonts w:ascii="Times New Roman" w:hAnsi="Times New Roman" w:cs="Times New Roman"/>
          <w:sz w:val="24"/>
          <w:szCs w:val="24"/>
        </w:rPr>
        <w:t xml:space="preserve"> instance</w:t>
      </w:r>
      <w:r w:rsidR="00A26006" w:rsidRPr="00695693">
        <w:rPr>
          <w:rFonts w:ascii="Times New Roman" w:hAnsi="Times New Roman" w:cs="Times New Roman"/>
          <w:sz w:val="24"/>
          <w:szCs w:val="24"/>
        </w:rPr>
        <w:t>s</w:t>
      </w:r>
      <w:r w:rsidRPr="00695693">
        <w:rPr>
          <w:rFonts w:ascii="Times New Roman" w:hAnsi="Times New Roman" w:cs="Times New Roman"/>
          <w:sz w:val="24"/>
          <w:szCs w:val="24"/>
        </w:rPr>
        <w:t xml:space="preserve"> nationale</w:t>
      </w:r>
      <w:r w:rsidR="00A26006" w:rsidRPr="00695693">
        <w:rPr>
          <w:rFonts w:ascii="Times New Roman" w:hAnsi="Times New Roman" w:cs="Times New Roman"/>
          <w:sz w:val="24"/>
          <w:szCs w:val="24"/>
        </w:rPr>
        <w:t>s</w:t>
      </w:r>
      <w:r w:rsidRPr="00695693">
        <w:rPr>
          <w:rFonts w:ascii="Times New Roman" w:hAnsi="Times New Roman" w:cs="Times New Roman"/>
          <w:sz w:val="24"/>
          <w:szCs w:val="24"/>
        </w:rPr>
        <w:t xml:space="preserve"> qui serai</w:t>
      </w:r>
      <w:r w:rsidR="00A26006" w:rsidRPr="00695693">
        <w:rPr>
          <w:rFonts w:ascii="Times New Roman" w:hAnsi="Times New Roman" w:cs="Times New Roman"/>
          <w:sz w:val="24"/>
          <w:szCs w:val="24"/>
        </w:rPr>
        <w:t>en</w:t>
      </w:r>
      <w:r w:rsidRPr="00695693">
        <w:rPr>
          <w:rFonts w:ascii="Times New Roman" w:hAnsi="Times New Roman" w:cs="Times New Roman"/>
          <w:sz w:val="24"/>
          <w:szCs w:val="24"/>
        </w:rPr>
        <w:t>t saisie</w:t>
      </w:r>
      <w:r w:rsidR="00A26006" w:rsidRPr="00695693">
        <w:rPr>
          <w:rFonts w:ascii="Times New Roman" w:hAnsi="Times New Roman" w:cs="Times New Roman"/>
          <w:sz w:val="24"/>
          <w:szCs w:val="24"/>
        </w:rPr>
        <w:t>s</w:t>
      </w:r>
      <w:r w:rsidRPr="00695693">
        <w:rPr>
          <w:rFonts w:ascii="Times New Roman" w:hAnsi="Times New Roman" w:cs="Times New Roman"/>
          <w:sz w:val="24"/>
          <w:szCs w:val="24"/>
        </w:rPr>
        <w:t xml:space="preserve"> de la même question. Il possède une force obligatoire</w:t>
      </w:r>
      <w:r w:rsidR="00355B4B" w:rsidRPr="00695693">
        <w:rPr>
          <w:rStyle w:val="Appelnotedebasdep"/>
          <w:rFonts w:ascii="Times New Roman" w:hAnsi="Times New Roman" w:cs="Times New Roman"/>
          <w:sz w:val="24"/>
          <w:szCs w:val="24"/>
        </w:rPr>
        <w:footnoteReference w:id="206"/>
      </w:r>
      <w:r w:rsidRPr="00695693">
        <w:rPr>
          <w:rFonts w:ascii="Times New Roman" w:hAnsi="Times New Roman" w:cs="Times New Roman"/>
          <w:sz w:val="24"/>
          <w:szCs w:val="24"/>
        </w:rPr>
        <w:t> ; une portée générale</w:t>
      </w:r>
      <w:r w:rsidR="00355B4B" w:rsidRPr="00695693">
        <w:rPr>
          <w:rStyle w:val="Appelnotedebasdep"/>
          <w:rFonts w:ascii="Times New Roman" w:hAnsi="Times New Roman" w:cs="Times New Roman"/>
          <w:sz w:val="24"/>
          <w:szCs w:val="24"/>
        </w:rPr>
        <w:footnoteReference w:id="207"/>
      </w:r>
      <w:r w:rsidRPr="00695693">
        <w:rPr>
          <w:rFonts w:ascii="Times New Roman" w:hAnsi="Times New Roman" w:cs="Times New Roman"/>
          <w:sz w:val="24"/>
          <w:szCs w:val="24"/>
        </w:rPr>
        <w:t> et une portée rétroactive</w:t>
      </w:r>
      <w:r w:rsidRPr="00695693">
        <w:rPr>
          <w:rStyle w:val="Appelnotedebasdep"/>
          <w:rFonts w:ascii="Times New Roman" w:hAnsi="Times New Roman" w:cs="Times New Roman"/>
          <w:sz w:val="24"/>
          <w:szCs w:val="24"/>
        </w:rPr>
        <w:footnoteReference w:id="208"/>
      </w:r>
      <w:r w:rsidRPr="00695693">
        <w:rPr>
          <w:rFonts w:ascii="Times New Roman" w:hAnsi="Times New Roman" w:cs="Times New Roman"/>
          <w:sz w:val="24"/>
          <w:szCs w:val="24"/>
        </w:rPr>
        <w:t>.</w:t>
      </w:r>
      <w:r w:rsidR="00355B4B" w:rsidRPr="00695693">
        <w:rPr>
          <w:rFonts w:ascii="Times New Roman" w:hAnsi="Times New Roman" w:cs="Times New Roman"/>
          <w:sz w:val="24"/>
          <w:szCs w:val="24"/>
        </w:rPr>
        <w:t xml:space="preserve"> Ainsi</w:t>
      </w:r>
      <w:r w:rsidRPr="00695693">
        <w:rPr>
          <w:rFonts w:ascii="Times New Roman" w:hAnsi="Times New Roman" w:cs="Times New Roman"/>
          <w:sz w:val="24"/>
          <w:szCs w:val="24"/>
        </w:rPr>
        <w:t xml:space="preserve">, </w:t>
      </w:r>
      <w:r w:rsidR="00334416" w:rsidRPr="00695693">
        <w:rPr>
          <w:rFonts w:ascii="Times New Roman" w:hAnsi="Times New Roman" w:cs="Times New Roman"/>
          <w:sz w:val="24"/>
          <w:szCs w:val="24"/>
        </w:rPr>
        <w:t xml:space="preserve">il </w:t>
      </w:r>
      <w:r w:rsidR="008E3C81" w:rsidRPr="00695693">
        <w:rPr>
          <w:rFonts w:ascii="Times New Roman" w:hAnsi="Times New Roman" w:cs="Times New Roman"/>
          <w:sz w:val="24"/>
          <w:szCs w:val="24"/>
        </w:rPr>
        <w:t xml:space="preserve">est nécessaire de </w:t>
      </w:r>
      <w:r w:rsidR="00A2541B">
        <w:rPr>
          <w:rFonts w:ascii="Times New Roman" w:hAnsi="Times New Roman" w:cs="Times New Roman"/>
          <w:sz w:val="24"/>
          <w:szCs w:val="24"/>
        </w:rPr>
        <w:t xml:space="preserve">distinguer </w:t>
      </w:r>
      <w:r w:rsidR="008E3C81" w:rsidRPr="00695693">
        <w:rPr>
          <w:rFonts w:ascii="Times New Roman" w:hAnsi="Times New Roman" w:cs="Times New Roman"/>
          <w:sz w:val="24"/>
          <w:szCs w:val="24"/>
        </w:rPr>
        <w:t xml:space="preserve">les effets </w:t>
      </w:r>
      <w:r w:rsidR="00A13EE7" w:rsidRPr="00695693">
        <w:rPr>
          <w:rFonts w:ascii="Times New Roman" w:hAnsi="Times New Roman" w:cs="Times New Roman"/>
          <w:sz w:val="24"/>
          <w:szCs w:val="24"/>
        </w:rPr>
        <w:t xml:space="preserve">de l’arrêten interprétation </w:t>
      </w:r>
      <w:r w:rsidR="00A13EE7" w:rsidRPr="00630EBA">
        <w:rPr>
          <w:rFonts w:ascii="Times New Roman" w:hAnsi="Times New Roman" w:cs="Times New Roman"/>
          <w:b/>
          <w:sz w:val="24"/>
          <w:szCs w:val="24"/>
        </w:rPr>
        <w:t>(A)</w:t>
      </w:r>
      <w:r w:rsidR="000A750B" w:rsidRPr="00695693">
        <w:rPr>
          <w:rFonts w:ascii="Times New Roman" w:hAnsi="Times New Roman" w:cs="Times New Roman"/>
          <w:sz w:val="24"/>
          <w:szCs w:val="24"/>
        </w:rPr>
        <w:t>,</w:t>
      </w:r>
      <w:r w:rsidR="00A2541B">
        <w:rPr>
          <w:rFonts w:ascii="Times New Roman" w:hAnsi="Times New Roman" w:cs="Times New Roman"/>
          <w:sz w:val="24"/>
          <w:szCs w:val="24"/>
        </w:rPr>
        <w:t>de</w:t>
      </w:r>
      <w:r w:rsidR="008E3C81" w:rsidRPr="00695693">
        <w:rPr>
          <w:rFonts w:ascii="Times New Roman" w:hAnsi="Times New Roman" w:cs="Times New Roman"/>
          <w:sz w:val="24"/>
          <w:szCs w:val="24"/>
        </w:rPr>
        <w:t xml:space="preserve">ceux </w:t>
      </w:r>
      <w:r w:rsidR="00A13EE7" w:rsidRPr="00695693">
        <w:rPr>
          <w:rFonts w:ascii="Times New Roman" w:hAnsi="Times New Roman" w:cs="Times New Roman"/>
          <w:sz w:val="24"/>
          <w:szCs w:val="24"/>
        </w:rPr>
        <w:t xml:space="preserve">en </w:t>
      </w:r>
      <w:r w:rsidRPr="00695693">
        <w:rPr>
          <w:rFonts w:ascii="Times New Roman" w:hAnsi="Times New Roman" w:cs="Times New Roman"/>
          <w:sz w:val="24"/>
          <w:szCs w:val="24"/>
        </w:rPr>
        <w:t>appréciation de validité</w:t>
      </w:r>
      <w:r w:rsidR="00A13EE7" w:rsidRPr="00630EBA">
        <w:rPr>
          <w:rFonts w:ascii="Times New Roman" w:hAnsi="Times New Roman" w:cs="Times New Roman"/>
          <w:b/>
          <w:sz w:val="24"/>
          <w:szCs w:val="24"/>
        </w:rPr>
        <w:t>(B)</w:t>
      </w:r>
      <w:r w:rsidRPr="00695693">
        <w:rPr>
          <w:rFonts w:ascii="Times New Roman" w:hAnsi="Times New Roman" w:cs="Times New Roman"/>
          <w:sz w:val="24"/>
          <w:szCs w:val="24"/>
        </w:rPr>
        <w:t>.</w:t>
      </w:r>
    </w:p>
    <w:p w:rsidR="00A13EE7" w:rsidRPr="00802E04" w:rsidRDefault="00A13EE7" w:rsidP="0037430F">
      <w:pPr>
        <w:pStyle w:val="Titre5"/>
      </w:pPr>
      <w:bookmarkStart w:id="57" w:name="_Toc518672806"/>
      <w:r w:rsidRPr="00802E04">
        <w:t>A. Les effets de l’arrêt en interprétation</w:t>
      </w:r>
      <w:bookmarkEnd w:id="57"/>
    </w:p>
    <w:p w:rsidR="00D61109" w:rsidRPr="00695693" w:rsidRDefault="00D61109"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L’arrêt en interprétation produit se</w:t>
      </w:r>
      <w:r w:rsidR="00694424" w:rsidRPr="00695693">
        <w:rPr>
          <w:rFonts w:ascii="Times New Roman" w:hAnsi="Times New Roman" w:cs="Times New Roman"/>
          <w:sz w:val="24"/>
          <w:szCs w:val="24"/>
        </w:rPr>
        <w:t>s effets à la fois dans l’espace et dans le temps non seulement à l’égard de la juridiction nationale auteure de la question ; mais aussi à toutes les instances nationales des Etats</w:t>
      </w:r>
      <w:r w:rsidR="004B47B9" w:rsidRPr="00695693">
        <w:rPr>
          <w:rFonts w:ascii="Times New Roman" w:hAnsi="Times New Roman" w:cs="Times New Roman"/>
          <w:sz w:val="24"/>
          <w:szCs w:val="24"/>
        </w:rPr>
        <w:t xml:space="preserve"> membres</w:t>
      </w:r>
      <w:r w:rsidR="00694424" w:rsidRPr="00695693">
        <w:rPr>
          <w:rFonts w:ascii="Times New Roman" w:hAnsi="Times New Roman" w:cs="Times New Roman"/>
          <w:sz w:val="24"/>
          <w:szCs w:val="24"/>
        </w:rPr>
        <w:t xml:space="preserve"> qui auront</w:t>
      </w:r>
      <w:r w:rsidR="00C055D8" w:rsidRPr="00695693">
        <w:rPr>
          <w:rFonts w:ascii="Times New Roman" w:hAnsi="Times New Roman" w:cs="Times New Roman"/>
          <w:sz w:val="24"/>
          <w:szCs w:val="24"/>
        </w:rPr>
        <w:t xml:space="preserve"> à statuer sur la même affaire. </w:t>
      </w:r>
    </w:p>
    <w:p w:rsidR="00AE58EB"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Pour ce qui est de la juridiction de renvoi, l’autorité de l’interprétation joue aussi bien dans l’espace que dans le temps. Dans l’espace, les interprétations formulées par l’organe judiciaire communautaire à la suite d’une question préjudicielle s’imposent à l’organe national à l’origine du recours</w:t>
      </w:r>
      <w:r w:rsidR="00E97213" w:rsidRPr="00695693">
        <w:rPr>
          <w:rStyle w:val="Appelnotedebasdep"/>
          <w:rFonts w:ascii="Times New Roman" w:hAnsi="Times New Roman" w:cs="Times New Roman"/>
          <w:sz w:val="24"/>
          <w:szCs w:val="24"/>
        </w:rPr>
        <w:footnoteReference w:id="209"/>
      </w:r>
      <w:r w:rsidRPr="00695693">
        <w:rPr>
          <w:rFonts w:ascii="Times New Roman" w:hAnsi="Times New Roman" w:cs="Times New Roman"/>
          <w:sz w:val="24"/>
          <w:szCs w:val="24"/>
        </w:rPr>
        <w:t xml:space="preserve"> et à toutes les autorités administratives des Etats parties à la communauté</w:t>
      </w:r>
      <w:r w:rsidRPr="00695693">
        <w:rPr>
          <w:rStyle w:val="Appelnotedebasdep"/>
          <w:rFonts w:ascii="Times New Roman" w:hAnsi="Times New Roman" w:cs="Times New Roman"/>
          <w:sz w:val="24"/>
          <w:szCs w:val="24"/>
        </w:rPr>
        <w:footnoteReference w:id="210"/>
      </w:r>
      <w:r w:rsidRPr="00695693">
        <w:rPr>
          <w:rFonts w:ascii="Times New Roman" w:hAnsi="Times New Roman" w:cs="Times New Roman"/>
          <w:sz w:val="24"/>
          <w:szCs w:val="24"/>
        </w:rPr>
        <w:t>, puisque le respect du droit de la communauté est une exigence constitutionnelle</w:t>
      </w:r>
      <w:r w:rsidRPr="00695693">
        <w:rPr>
          <w:rStyle w:val="Appelnotedebasdep"/>
          <w:rFonts w:ascii="Times New Roman" w:hAnsi="Times New Roman" w:cs="Times New Roman"/>
          <w:sz w:val="24"/>
          <w:szCs w:val="24"/>
        </w:rPr>
        <w:footnoteReference w:id="211"/>
      </w:r>
      <w:r w:rsidR="00DB51DE" w:rsidRPr="00695693">
        <w:rPr>
          <w:rFonts w:ascii="Times New Roman" w:hAnsi="Times New Roman" w:cs="Times New Roman"/>
          <w:sz w:val="24"/>
          <w:szCs w:val="24"/>
        </w:rPr>
        <w:t xml:space="preserve">. </w:t>
      </w:r>
      <w:r w:rsidR="00536EDF">
        <w:rPr>
          <w:rFonts w:ascii="Times New Roman" w:hAnsi="Times New Roman" w:cs="Times New Roman"/>
          <w:sz w:val="24"/>
          <w:szCs w:val="24"/>
        </w:rPr>
        <w:t>Il s’agit bien d’une obligation qui lie le juge de renvoi</w:t>
      </w:r>
      <w:r w:rsidR="00536EDF">
        <w:rPr>
          <w:rStyle w:val="Appelnotedebasdep"/>
          <w:rFonts w:ascii="Times New Roman" w:hAnsi="Times New Roman" w:cs="Times New Roman"/>
          <w:sz w:val="24"/>
          <w:szCs w:val="24"/>
        </w:rPr>
        <w:footnoteReference w:id="212"/>
      </w:r>
      <w:r w:rsidR="00536EDF">
        <w:rPr>
          <w:rFonts w:ascii="Times New Roman" w:hAnsi="Times New Roman" w:cs="Times New Roman"/>
          <w:sz w:val="24"/>
          <w:szCs w:val="24"/>
        </w:rPr>
        <w:t xml:space="preserve"> et dont l</w:t>
      </w:r>
      <w:r w:rsidRPr="00695693">
        <w:rPr>
          <w:rFonts w:ascii="Times New Roman" w:hAnsi="Times New Roman" w:cs="Times New Roman"/>
          <w:sz w:val="24"/>
          <w:szCs w:val="24"/>
        </w:rPr>
        <w:t>’inobservation  peut donner lieu à un recours en manquement</w:t>
      </w:r>
      <w:r w:rsidRPr="00695693">
        <w:rPr>
          <w:rStyle w:val="Appelnotedebasdep"/>
          <w:rFonts w:ascii="Times New Roman" w:hAnsi="Times New Roman" w:cs="Times New Roman"/>
          <w:sz w:val="24"/>
          <w:szCs w:val="24"/>
        </w:rPr>
        <w:footnoteReference w:id="213"/>
      </w:r>
      <w:r w:rsidRPr="00695693">
        <w:rPr>
          <w:rFonts w:ascii="Times New Roman" w:hAnsi="Times New Roman" w:cs="Times New Roman"/>
          <w:sz w:val="24"/>
          <w:szCs w:val="24"/>
        </w:rPr>
        <w:t xml:space="preserve">. En revanche, le juge national auteur de la question n’est en réalité tenu par la réponse de la Cour que si celle-ci lui </w:t>
      </w:r>
      <w:r w:rsidRPr="00695693">
        <w:rPr>
          <w:rFonts w:ascii="Times New Roman" w:hAnsi="Times New Roman" w:cs="Times New Roman"/>
          <w:sz w:val="24"/>
          <w:szCs w:val="24"/>
        </w:rPr>
        <w:lastRenderedPageBreak/>
        <w:t>permet bien de résoudre le litige dont il est saisi</w:t>
      </w:r>
      <w:r w:rsidRPr="00695693">
        <w:rPr>
          <w:rStyle w:val="Appelnotedebasdep"/>
          <w:rFonts w:ascii="Times New Roman" w:hAnsi="Times New Roman" w:cs="Times New Roman"/>
          <w:sz w:val="24"/>
          <w:szCs w:val="24"/>
        </w:rPr>
        <w:footnoteReference w:id="214"/>
      </w:r>
      <w:r w:rsidR="004B47B9" w:rsidRPr="00695693">
        <w:rPr>
          <w:rFonts w:ascii="Times New Roman" w:hAnsi="Times New Roman" w:cs="Times New Roman"/>
          <w:sz w:val="24"/>
          <w:szCs w:val="24"/>
        </w:rPr>
        <w:t xml:space="preserve">. </w:t>
      </w:r>
      <w:r w:rsidRPr="00695693">
        <w:rPr>
          <w:rFonts w:ascii="Times New Roman" w:hAnsi="Times New Roman" w:cs="Times New Roman"/>
          <w:sz w:val="24"/>
          <w:szCs w:val="24"/>
        </w:rPr>
        <w:t xml:space="preserve">Dans le temps, l’arrêt interprétatif est régi par le principe de la rétroactivité qui veut que l’interprétation donnée par le juge communautaire s’applique non seulement aux situations à venir, mais aussi aux celles antérieures. </w:t>
      </w:r>
      <w:r w:rsidR="000A750B" w:rsidRPr="00695693">
        <w:rPr>
          <w:rFonts w:ascii="Times New Roman" w:hAnsi="Times New Roman" w:cs="Times New Roman"/>
          <w:sz w:val="24"/>
          <w:szCs w:val="24"/>
        </w:rPr>
        <w:t xml:space="preserve">Elle </w:t>
      </w:r>
      <w:r w:rsidRPr="00695693">
        <w:rPr>
          <w:rFonts w:ascii="Times New Roman" w:hAnsi="Times New Roman" w:cs="Times New Roman"/>
          <w:sz w:val="24"/>
          <w:szCs w:val="24"/>
        </w:rPr>
        <w:t xml:space="preserve">pourra </w:t>
      </w:r>
      <w:r w:rsidR="000A750B" w:rsidRPr="00695693">
        <w:rPr>
          <w:rFonts w:ascii="Times New Roman" w:hAnsi="Times New Roman" w:cs="Times New Roman"/>
          <w:sz w:val="24"/>
          <w:szCs w:val="24"/>
        </w:rPr>
        <w:t xml:space="preserve">donc </w:t>
      </w:r>
      <w:r w:rsidRPr="00695693">
        <w:rPr>
          <w:rFonts w:ascii="Times New Roman" w:hAnsi="Times New Roman" w:cs="Times New Roman"/>
          <w:sz w:val="24"/>
          <w:szCs w:val="24"/>
        </w:rPr>
        <w:t xml:space="preserve">être appliquée par le juge national même à des rapports juridiques nés et constitués avant l’arrêt statuant sur la demande d’interprétation. Toutefois, </w:t>
      </w:r>
      <w:r w:rsidR="00D61109" w:rsidRPr="00695693">
        <w:rPr>
          <w:rFonts w:ascii="Times New Roman" w:hAnsi="Times New Roman" w:cs="Times New Roman"/>
          <w:sz w:val="24"/>
          <w:szCs w:val="24"/>
        </w:rPr>
        <w:t>cette portée rétroactive</w:t>
      </w:r>
      <w:r w:rsidR="00BA6C4E" w:rsidRPr="00695693">
        <w:rPr>
          <w:rFonts w:ascii="Times New Roman" w:hAnsi="Times New Roman" w:cs="Times New Roman"/>
          <w:sz w:val="24"/>
          <w:szCs w:val="24"/>
        </w:rPr>
        <w:t xml:space="preserve"> de l’</w:t>
      </w:r>
      <w:r w:rsidR="00F02EE2" w:rsidRPr="00695693">
        <w:rPr>
          <w:rFonts w:ascii="Times New Roman" w:hAnsi="Times New Roman" w:cs="Times New Roman"/>
          <w:sz w:val="24"/>
          <w:szCs w:val="24"/>
        </w:rPr>
        <w:t>arrêt</w:t>
      </w:r>
      <w:r w:rsidR="00BA6C4E" w:rsidRPr="00695693">
        <w:rPr>
          <w:rFonts w:ascii="Times New Roman" w:hAnsi="Times New Roman" w:cs="Times New Roman"/>
          <w:sz w:val="24"/>
          <w:szCs w:val="24"/>
        </w:rPr>
        <w:t xml:space="preserve"> interprétatif est en contradiction avec le principe général de non rétroactivité des lois, dégagé par plusieurs textes juridiques</w:t>
      </w:r>
      <w:r w:rsidR="00BA6C4E" w:rsidRPr="00695693">
        <w:rPr>
          <w:rStyle w:val="Appelnotedebasdep"/>
          <w:rFonts w:ascii="Times New Roman" w:hAnsi="Times New Roman" w:cs="Times New Roman"/>
          <w:sz w:val="24"/>
          <w:szCs w:val="24"/>
        </w:rPr>
        <w:footnoteReference w:id="215"/>
      </w:r>
      <w:r w:rsidR="00BA6C4E" w:rsidRPr="00695693">
        <w:rPr>
          <w:rFonts w:ascii="Times New Roman" w:hAnsi="Times New Roman" w:cs="Times New Roman"/>
          <w:sz w:val="24"/>
          <w:szCs w:val="24"/>
        </w:rPr>
        <w:t>. Ce principe suppose que « </w:t>
      </w:r>
      <w:r w:rsidR="00BA6C4E" w:rsidRPr="00695693">
        <w:rPr>
          <w:rFonts w:ascii="Times New Roman" w:hAnsi="Times New Roman" w:cs="Times New Roman"/>
          <w:i/>
          <w:sz w:val="24"/>
          <w:szCs w:val="24"/>
        </w:rPr>
        <w:t>la loi (les lois) ne peut disposer que pour l’avenir. Elle ne régira que les situations juridiques postérieures à son</w:t>
      </w:r>
      <w:r w:rsidR="00E02BC9" w:rsidRPr="00695693">
        <w:rPr>
          <w:rFonts w:ascii="Times New Roman" w:hAnsi="Times New Roman" w:cs="Times New Roman"/>
          <w:i/>
          <w:sz w:val="24"/>
          <w:szCs w:val="24"/>
        </w:rPr>
        <w:t xml:space="preserve"> entrée en vigueur</w:t>
      </w:r>
      <w:r w:rsidR="00E02BC9" w:rsidRPr="00695693">
        <w:rPr>
          <w:rFonts w:ascii="Times New Roman" w:hAnsi="Times New Roman" w:cs="Times New Roman"/>
          <w:sz w:val="24"/>
          <w:szCs w:val="24"/>
        </w:rPr>
        <w:t> »</w:t>
      </w:r>
      <w:r w:rsidR="00E02BC9" w:rsidRPr="00695693">
        <w:rPr>
          <w:rStyle w:val="Appelnotedebasdep"/>
          <w:rFonts w:ascii="Times New Roman" w:hAnsi="Times New Roman" w:cs="Times New Roman"/>
          <w:sz w:val="24"/>
          <w:szCs w:val="24"/>
        </w:rPr>
        <w:footnoteReference w:id="216"/>
      </w:r>
      <w:r w:rsidR="00E02BC9" w:rsidRPr="00695693">
        <w:rPr>
          <w:rFonts w:ascii="Times New Roman" w:hAnsi="Times New Roman" w:cs="Times New Roman"/>
          <w:sz w:val="24"/>
          <w:szCs w:val="24"/>
        </w:rPr>
        <w:t xml:space="preserve">. </w:t>
      </w:r>
      <w:r w:rsidR="00F02EE2" w:rsidRPr="00695693">
        <w:rPr>
          <w:rFonts w:ascii="Times New Roman" w:hAnsi="Times New Roman" w:cs="Times New Roman"/>
          <w:sz w:val="24"/>
          <w:szCs w:val="24"/>
        </w:rPr>
        <w:t xml:space="preserve">Cependant, la </w:t>
      </w:r>
      <w:r w:rsidRPr="00695693">
        <w:rPr>
          <w:rFonts w:ascii="Times New Roman" w:hAnsi="Times New Roman" w:cs="Times New Roman"/>
          <w:sz w:val="24"/>
          <w:szCs w:val="24"/>
        </w:rPr>
        <w:t>jurisprudence européenne a accepté de reconnaitre une dérogation au principe de la rétroactivité en matière préjudiciel</w:t>
      </w:r>
      <w:r w:rsidR="00E6430C" w:rsidRPr="00695693">
        <w:rPr>
          <w:rFonts w:ascii="Times New Roman" w:hAnsi="Times New Roman" w:cs="Times New Roman"/>
          <w:sz w:val="24"/>
          <w:szCs w:val="24"/>
        </w:rPr>
        <w:t>le</w:t>
      </w:r>
      <w:r w:rsidRPr="00695693">
        <w:rPr>
          <w:rFonts w:ascii="Times New Roman" w:hAnsi="Times New Roman" w:cs="Times New Roman"/>
          <w:sz w:val="24"/>
          <w:szCs w:val="24"/>
        </w:rPr>
        <w:t>. Le souci d’une telle dérogation, selon la Cour, est d’éviter les perturbations graves que sa décision pourrait entrainer aux relations juridiques déjà nées</w:t>
      </w:r>
      <w:r w:rsidRPr="00695693">
        <w:rPr>
          <w:rStyle w:val="Appelnotedebasdep"/>
          <w:rFonts w:ascii="Times New Roman" w:hAnsi="Times New Roman" w:cs="Times New Roman"/>
          <w:sz w:val="24"/>
          <w:szCs w:val="24"/>
        </w:rPr>
        <w:footnoteReference w:id="217"/>
      </w:r>
      <w:r w:rsidR="00D91707" w:rsidRPr="00695693">
        <w:rPr>
          <w:rFonts w:ascii="Times New Roman" w:hAnsi="Times New Roman" w:cs="Times New Roman"/>
          <w:sz w:val="24"/>
          <w:szCs w:val="24"/>
        </w:rPr>
        <w:t xml:space="preserve">. </w:t>
      </w:r>
      <w:r w:rsidR="00110161">
        <w:rPr>
          <w:rFonts w:ascii="Times New Roman" w:hAnsi="Times New Roman" w:cs="Times New Roman"/>
          <w:sz w:val="24"/>
          <w:szCs w:val="24"/>
        </w:rPr>
        <w:t>Dans une autre affaire, la Cour a également admis que la rétroactivité ne s’applique pas au</w:t>
      </w:r>
      <w:r w:rsidR="006E028C">
        <w:rPr>
          <w:rFonts w:ascii="Times New Roman" w:hAnsi="Times New Roman" w:cs="Times New Roman"/>
          <w:sz w:val="24"/>
          <w:szCs w:val="24"/>
        </w:rPr>
        <w:t>x ré</w:t>
      </w:r>
      <w:r w:rsidR="00110161">
        <w:rPr>
          <w:rFonts w:ascii="Times New Roman" w:hAnsi="Times New Roman" w:cs="Times New Roman"/>
          <w:sz w:val="24"/>
          <w:szCs w:val="24"/>
        </w:rPr>
        <w:t xml:space="preserve">clamations administratives ou juridictionnelles déjà formulées à la date de son </w:t>
      </w:r>
      <w:r w:rsidR="006E028C">
        <w:rPr>
          <w:rFonts w:ascii="Times New Roman" w:hAnsi="Times New Roman" w:cs="Times New Roman"/>
          <w:sz w:val="24"/>
          <w:szCs w:val="24"/>
        </w:rPr>
        <w:t>arrêt</w:t>
      </w:r>
      <w:r w:rsidR="00110161">
        <w:rPr>
          <w:rFonts w:ascii="Times New Roman" w:hAnsi="Times New Roman" w:cs="Times New Roman"/>
          <w:sz w:val="24"/>
          <w:szCs w:val="24"/>
        </w:rPr>
        <w:t xml:space="preserve"> interprétatif. Elle </w:t>
      </w:r>
      <w:r w:rsidR="006E028C">
        <w:rPr>
          <w:rFonts w:ascii="Times New Roman" w:hAnsi="Times New Roman" w:cs="Times New Roman"/>
          <w:sz w:val="24"/>
          <w:szCs w:val="24"/>
        </w:rPr>
        <w:t>a tenu à justifier sa position en raison « </w:t>
      </w:r>
      <w:r w:rsidR="006E028C" w:rsidRPr="006E028C">
        <w:rPr>
          <w:rFonts w:ascii="Times New Roman" w:hAnsi="Times New Roman" w:cs="Times New Roman"/>
          <w:i/>
          <w:sz w:val="24"/>
          <w:szCs w:val="24"/>
        </w:rPr>
        <w:t>des considérations impérieuses de sécurité juridique</w:t>
      </w:r>
      <w:r w:rsidR="006E028C">
        <w:rPr>
          <w:rFonts w:ascii="Times New Roman" w:hAnsi="Times New Roman" w:cs="Times New Roman"/>
          <w:sz w:val="24"/>
          <w:szCs w:val="24"/>
        </w:rPr>
        <w:t> »</w:t>
      </w:r>
      <w:r w:rsidR="006E028C">
        <w:rPr>
          <w:rStyle w:val="Appelnotedebasdep"/>
          <w:rFonts w:ascii="Times New Roman" w:hAnsi="Times New Roman" w:cs="Times New Roman"/>
          <w:sz w:val="24"/>
          <w:szCs w:val="24"/>
        </w:rPr>
        <w:footnoteReference w:id="218"/>
      </w:r>
      <w:r w:rsidR="002C4CF7">
        <w:rPr>
          <w:rFonts w:ascii="Times New Roman" w:hAnsi="Times New Roman" w:cs="Times New Roman"/>
          <w:sz w:val="24"/>
          <w:szCs w:val="24"/>
        </w:rPr>
        <w:t>.</w:t>
      </w:r>
    </w:p>
    <w:p w:rsidR="00AF5F9D"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En ce qui concerne les autres juridictions nationales des Etats membres, elles sont également liées par l’arrêt interprétatif dès lors qu’elles auront à statuer sur le même lit</w:t>
      </w:r>
      <w:r w:rsidR="00DD138D" w:rsidRPr="00695693">
        <w:rPr>
          <w:rFonts w:ascii="Times New Roman" w:hAnsi="Times New Roman" w:cs="Times New Roman"/>
          <w:sz w:val="24"/>
          <w:szCs w:val="24"/>
        </w:rPr>
        <w:t>ige. Dans ce cas,</w:t>
      </w:r>
      <w:r w:rsidRPr="00695693">
        <w:rPr>
          <w:rFonts w:ascii="Times New Roman" w:hAnsi="Times New Roman" w:cs="Times New Roman"/>
          <w:sz w:val="24"/>
          <w:szCs w:val="24"/>
        </w:rPr>
        <w:t xml:space="preserve"> toutes les juridictions des Etats membres de la communauté </w:t>
      </w:r>
      <w:r w:rsidR="00DD138D" w:rsidRPr="00695693">
        <w:rPr>
          <w:rFonts w:ascii="Times New Roman" w:hAnsi="Times New Roman" w:cs="Times New Roman"/>
          <w:sz w:val="24"/>
          <w:szCs w:val="24"/>
        </w:rPr>
        <w:t>ser</w:t>
      </w:r>
      <w:r w:rsidRPr="00695693">
        <w:rPr>
          <w:rFonts w:ascii="Times New Roman" w:hAnsi="Times New Roman" w:cs="Times New Roman"/>
          <w:sz w:val="24"/>
          <w:szCs w:val="24"/>
        </w:rPr>
        <w:t xml:space="preserve">ont </w:t>
      </w:r>
      <w:r w:rsidR="00DD138D" w:rsidRPr="00695693">
        <w:rPr>
          <w:rFonts w:ascii="Times New Roman" w:hAnsi="Times New Roman" w:cs="Times New Roman"/>
          <w:sz w:val="24"/>
          <w:szCs w:val="24"/>
        </w:rPr>
        <w:t xml:space="preserve">tenues </w:t>
      </w:r>
      <w:r w:rsidRPr="00695693">
        <w:rPr>
          <w:rFonts w:ascii="Times New Roman" w:hAnsi="Times New Roman" w:cs="Times New Roman"/>
          <w:sz w:val="24"/>
          <w:szCs w:val="24"/>
        </w:rPr>
        <w:t>de l’appliquer aux litiges dans lesquels la même disposition sera invoquée</w:t>
      </w:r>
      <w:r w:rsidRPr="00695693">
        <w:rPr>
          <w:rStyle w:val="Appelnotedebasdep"/>
          <w:rFonts w:ascii="Times New Roman" w:hAnsi="Times New Roman" w:cs="Times New Roman"/>
          <w:sz w:val="24"/>
          <w:szCs w:val="24"/>
        </w:rPr>
        <w:footnoteReference w:id="219"/>
      </w:r>
      <w:r w:rsidRPr="00695693">
        <w:rPr>
          <w:rFonts w:ascii="Times New Roman" w:hAnsi="Times New Roman" w:cs="Times New Roman"/>
          <w:sz w:val="24"/>
          <w:szCs w:val="24"/>
        </w:rPr>
        <w:t>. Le caractère obligatoire des interprétations formulées par l’organe judiciaire communautaire résulte d</w:t>
      </w:r>
      <w:r w:rsidR="009A0525" w:rsidRPr="00695693">
        <w:rPr>
          <w:rFonts w:ascii="Times New Roman" w:hAnsi="Times New Roman" w:cs="Times New Roman"/>
          <w:sz w:val="24"/>
          <w:szCs w:val="24"/>
        </w:rPr>
        <w:t>u fait que ces interprétations « </w:t>
      </w:r>
      <w:r w:rsidRPr="00695693">
        <w:rPr>
          <w:rFonts w:ascii="Times New Roman" w:hAnsi="Times New Roman" w:cs="Times New Roman"/>
          <w:i/>
          <w:sz w:val="24"/>
          <w:szCs w:val="24"/>
        </w:rPr>
        <w:t>sont incorporées dans les dispositions et principes du droit communautaire auxquels elles se rapportent et qui doivent être respectés par toutes les juridictions des Etats membres</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220"/>
      </w:r>
      <w:r w:rsidR="008E3C81" w:rsidRPr="00695693">
        <w:rPr>
          <w:rFonts w:ascii="Times New Roman" w:hAnsi="Times New Roman" w:cs="Times New Roman"/>
          <w:sz w:val="24"/>
          <w:szCs w:val="24"/>
        </w:rPr>
        <w:t>.</w:t>
      </w:r>
      <w:r w:rsidR="002C4CF7">
        <w:rPr>
          <w:rFonts w:ascii="Times New Roman" w:hAnsi="Times New Roman" w:cs="Times New Roman"/>
          <w:sz w:val="24"/>
          <w:szCs w:val="24"/>
        </w:rPr>
        <w:t xml:space="preserve">Cependant, la Cour ne considère pas pour autant que son interprétation </w:t>
      </w:r>
      <w:r w:rsidR="0024348B">
        <w:rPr>
          <w:rFonts w:ascii="Times New Roman" w:hAnsi="Times New Roman" w:cs="Times New Roman"/>
          <w:sz w:val="24"/>
          <w:szCs w:val="24"/>
        </w:rPr>
        <w:t>soit</w:t>
      </w:r>
      <w:r w:rsidR="002C4CF7">
        <w:rPr>
          <w:rFonts w:ascii="Times New Roman" w:hAnsi="Times New Roman" w:cs="Times New Roman"/>
          <w:sz w:val="24"/>
          <w:szCs w:val="24"/>
        </w:rPr>
        <w:t xml:space="preserve"> </w:t>
      </w:r>
      <w:r w:rsidR="002C4CF7">
        <w:rPr>
          <w:rFonts w:ascii="Times New Roman" w:hAnsi="Times New Roman" w:cs="Times New Roman"/>
          <w:sz w:val="24"/>
          <w:szCs w:val="24"/>
        </w:rPr>
        <w:lastRenderedPageBreak/>
        <w:t>définitive</w:t>
      </w:r>
      <w:r w:rsidR="0024348B">
        <w:rPr>
          <w:rFonts w:ascii="Times New Roman" w:hAnsi="Times New Roman" w:cs="Times New Roman"/>
          <w:sz w:val="24"/>
          <w:szCs w:val="24"/>
        </w:rPr>
        <w:t>. Elle se ré</w:t>
      </w:r>
      <w:r w:rsidR="002C4CF7">
        <w:rPr>
          <w:rFonts w:ascii="Times New Roman" w:hAnsi="Times New Roman" w:cs="Times New Roman"/>
          <w:sz w:val="24"/>
          <w:szCs w:val="24"/>
        </w:rPr>
        <w:t xml:space="preserve">serve </w:t>
      </w:r>
      <w:r w:rsidR="0024348B">
        <w:rPr>
          <w:rFonts w:ascii="Times New Roman" w:hAnsi="Times New Roman" w:cs="Times New Roman"/>
          <w:sz w:val="24"/>
          <w:szCs w:val="24"/>
        </w:rPr>
        <w:t>toujours la possibilité de la revoir toutes les fois que la juridiction nationale pourra la saisir à nouveau d’une question sur laquelle elle s’est déjà prononcée, si elle estime son interprétation insuffisante ou si elle espère un revirement de sa part</w:t>
      </w:r>
      <w:r w:rsidR="0024348B">
        <w:rPr>
          <w:rStyle w:val="Appelnotedebasdep"/>
          <w:rFonts w:ascii="Times New Roman" w:hAnsi="Times New Roman" w:cs="Times New Roman"/>
          <w:sz w:val="24"/>
          <w:szCs w:val="24"/>
        </w:rPr>
        <w:footnoteReference w:id="221"/>
      </w:r>
      <w:r w:rsidR="0024348B">
        <w:rPr>
          <w:rFonts w:ascii="Times New Roman" w:hAnsi="Times New Roman" w:cs="Times New Roman"/>
          <w:sz w:val="24"/>
          <w:szCs w:val="24"/>
        </w:rPr>
        <w:t xml:space="preserve">. </w:t>
      </w:r>
      <w:r w:rsidR="000A0D0A" w:rsidRPr="00695693">
        <w:rPr>
          <w:rFonts w:ascii="Times New Roman" w:hAnsi="Times New Roman" w:cs="Times New Roman"/>
          <w:sz w:val="24"/>
          <w:szCs w:val="24"/>
        </w:rPr>
        <w:t xml:space="preserve">Tout comme </w:t>
      </w:r>
      <w:r w:rsidR="008E3C81" w:rsidRPr="00695693">
        <w:rPr>
          <w:rFonts w:ascii="Times New Roman" w:hAnsi="Times New Roman" w:cs="Times New Roman"/>
          <w:sz w:val="24"/>
          <w:szCs w:val="24"/>
        </w:rPr>
        <w:t>la décision d’interprétation, celle en appréciation de validité produit</w:t>
      </w:r>
      <w:r w:rsidR="00426E77">
        <w:rPr>
          <w:rFonts w:ascii="Times New Roman" w:hAnsi="Times New Roman" w:cs="Times New Roman"/>
          <w:sz w:val="24"/>
          <w:szCs w:val="24"/>
        </w:rPr>
        <w:t xml:space="preserve"> également</w:t>
      </w:r>
      <w:r w:rsidR="008E3C81" w:rsidRPr="00695693">
        <w:rPr>
          <w:rFonts w:ascii="Times New Roman" w:hAnsi="Times New Roman" w:cs="Times New Roman"/>
          <w:sz w:val="24"/>
          <w:szCs w:val="24"/>
        </w:rPr>
        <w:t xml:space="preserve"> ses effets</w:t>
      </w:r>
      <w:r w:rsidR="00AF5F9D" w:rsidRPr="00695693">
        <w:rPr>
          <w:rFonts w:ascii="Times New Roman" w:hAnsi="Times New Roman" w:cs="Times New Roman"/>
          <w:sz w:val="24"/>
          <w:szCs w:val="24"/>
        </w:rPr>
        <w:t xml:space="preserve"> tant à l’égard</w:t>
      </w:r>
      <w:r w:rsidR="000A0D0A" w:rsidRPr="00695693">
        <w:rPr>
          <w:rFonts w:ascii="Times New Roman" w:hAnsi="Times New Roman" w:cs="Times New Roman"/>
          <w:sz w:val="24"/>
          <w:szCs w:val="24"/>
        </w:rPr>
        <w:t xml:space="preserve"> de la juridiction de renvoi</w:t>
      </w:r>
      <w:r w:rsidR="001F4F32" w:rsidRPr="00695693">
        <w:rPr>
          <w:rFonts w:ascii="Times New Roman" w:hAnsi="Times New Roman" w:cs="Times New Roman"/>
          <w:sz w:val="24"/>
          <w:szCs w:val="24"/>
        </w:rPr>
        <w:t xml:space="preserve">, </w:t>
      </w:r>
      <w:r w:rsidR="00AF5F9D" w:rsidRPr="00695693">
        <w:rPr>
          <w:rFonts w:ascii="Times New Roman" w:hAnsi="Times New Roman" w:cs="Times New Roman"/>
          <w:sz w:val="24"/>
          <w:szCs w:val="24"/>
        </w:rPr>
        <w:t>qu’</w:t>
      </w:r>
      <w:r w:rsidR="000A0D0A" w:rsidRPr="00695693">
        <w:rPr>
          <w:rFonts w:ascii="Times New Roman" w:hAnsi="Times New Roman" w:cs="Times New Roman"/>
          <w:sz w:val="24"/>
          <w:szCs w:val="24"/>
        </w:rPr>
        <w:t>à l’égard de toutes les autres instances qui seraient saisies de la même question.</w:t>
      </w:r>
    </w:p>
    <w:p w:rsidR="00081AD0" w:rsidRPr="00802E04" w:rsidRDefault="00D90F9F" w:rsidP="0037430F">
      <w:pPr>
        <w:pStyle w:val="Titre5"/>
      </w:pPr>
      <w:bookmarkStart w:id="58" w:name="_Toc518672807"/>
      <w:r w:rsidRPr="00802E04">
        <w:t>B. Les effets de l’ar</w:t>
      </w:r>
      <w:r w:rsidR="001F4F32" w:rsidRPr="00802E04">
        <w:t>rêt en appréciation de validité</w:t>
      </w:r>
      <w:bookmarkEnd w:id="58"/>
    </w:p>
    <w:p w:rsidR="005126B2" w:rsidRDefault="006D5BF7"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L’arrêt appréciatif</w:t>
      </w:r>
      <w:r w:rsidR="00694424" w:rsidRPr="00695693">
        <w:rPr>
          <w:rFonts w:ascii="Times New Roman" w:hAnsi="Times New Roman" w:cs="Times New Roman"/>
          <w:sz w:val="24"/>
          <w:szCs w:val="24"/>
        </w:rPr>
        <w:t xml:space="preserve"> de validité</w:t>
      </w:r>
      <w:r w:rsidRPr="00695693">
        <w:rPr>
          <w:rFonts w:ascii="Times New Roman" w:hAnsi="Times New Roman" w:cs="Times New Roman"/>
          <w:sz w:val="24"/>
          <w:szCs w:val="24"/>
        </w:rPr>
        <w:t xml:space="preserve"> produi</w:t>
      </w:r>
      <w:r w:rsidR="00694424" w:rsidRPr="00695693">
        <w:rPr>
          <w:rFonts w:ascii="Times New Roman" w:hAnsi="Times New Roman" w:cs="Times New Roman"/>
          <w:sz w:val="24"/>
          <w:szCs w:val="24"/>
        </w:rPr>
        <w:t>t</w:t>
      </w:r>
      <w:r w:rsidR="002D3576" w:rsidRPr="00695693">
        <w:rPr>
          <w:rFonts w:ascii="Times New Roman" w:hAnsi="Times New Roman" w:cs="Times New Roman"/>
          <w:sz w:val="24"/>
          <w:szCs w:val="24"/>
        </w:rPr>
        <w:t xml:space="preserve"> également</w:t>
      </w:r>
      <w:r w:rsidRPr="00695693">
        <w:rPr>
          <w:rFonts w:ascii="Times New Roman" w:hAnsi="Times New Roman" w:cs="Times New Roman"/>
          <w:sz w:val="24"/>
          <w:szCs w:val="24"/>
        </w:rPr>
        <w:t xml:space="preserve"> ses effets</w:t>
      </w:r>
      <w:r w:rsidR="00694424" w:rsidRPr="00695693">
        <w:rPr>
          <w:rFonts w:ascii="Times New Roman" w:hAnsi="Times New Roman" w:cs="Times New Roman"/>
          <w:sz w:val="24"/>
          <w:szCs w:val="24"/>
        </w:rPr>
        <w:t xml:space="preserve"> dans l’espace et dans le temps </w:t>
      </w:r>
      <w:r w:rsidRPr="00695693">
        <w:rPr>
          <w:rFonts w:ascii="Times New Roman" w:hAnsi="Times New Roman" w:cs="Times New Roman"/>
          <w:sz w:val="24"/>
          <w:szCs w:val="24"/>
        </w:rPr>
        <w:t xml:space="preserve">non seulement </w:t>
      </w:r>
      <w:r w:rsidR="00694424" w:rsidRPr="00695693">
        <w:rPr>
          <w:rFonts w:ascii="Times New Roman" w:hAnsi="Times New Roman" w:cs="Times New Roman"/>
          <w:sz w:val="24"/>
          <w:szCs w:val="24"/>
        </w:rPr>
        <w:t xml:space="preserve">à l’égard de la juridiction </w:t>
      </w:r>
      <w:r w:rsidR="005126B2">
        <w:rPr>
          <w:rFonts w:ascii="Times New Roman" w:hAnsi="Times New Roman" w:cs="Times New Roman"/>
          <w:sz w:val="24"/>
          <w:szCs w:val="24"/>
        </w:rPr>
        <w:t>de renvoi</w:t>
      </w:r>
      <w:r w:rsidRPr="00695693">
        <w:rPr>
          <w:rFonts w:ascii="Times New Roman" w:hAnsi="Times New Roman" w:cs="Times New Roman"/>
          <w:sz w:val="24"/>
          <w:szCs w:val="24"/>
        </w:rPr>
        <w:t xml:space="preserve">, mais aussià </w:t>
      </w:r>
      <w:r w:rsidR="00694424" w:rsidRPr="00695693">
        <w:rPr>
          <w:rFonts w:ascii="Times New Roman" w:hAnsi="Times New Roman" w:cs="Times New Roman"/>
          <w:sz w:val="24"/>
          <w:szCs w:val="24"/>
        </w:rPr>
        <w:t xml:space="preserve">toutes les autres </w:t>
      </w:r>
      <w:r w:rsidR="005126B2">
        <w:rPr>
          <w:rFonts w:ascii="Times New Roman" w:hAnsi="Times New Roman" w:cs="Times New Roman"/>
          <w:sz w:val="24"/>
          <w:szCs w:val="24"/>
        </w:rPr>
        <w:t xml:space="preserve">juridictions </w:t>
      </w:r>
      <w:r w:rsidR="00694424" w:rsidRPr="00695693">
        <w:rPr>
          <w:rFonts w:ascii="Times New Roman" w:hAnsi="Times New Roman" w:cs="Times New Roman"/>
          <w:sz w:val="24"/>
          <w:szCs w:val="24"/>
        </w:rPr>
        <w:t xml:space="preserve">des </w:t>
      </w:r>
      <w:r w:rsidR="005126B2">
        <w:rPr>
          <w:rFonts w:ascii="Times New Roman" w:hAnsi="Times New Roman" w:cs="Times New Roman"/>
          <w:sz w:val="24"/>
          <w:szCs w:val="24"/>
        </w:rPr>
        <w:t>Etats membres de la communauté</w:t>
      </w:r>
      <w:r w:rsidR="000A603C">
        <w:rPr>
          <w:rFonts w:ascii="Times New Roman" w:hAnsi="Times New Roman" w:cs="Times New Roman"/>
          <w:sz w:val="24"/>
          <w:szCs w:val="24"/>
        </w:rPr>
        <w:t xml:space="preserve"> etaux </w:t>
      </w:r>
      <w:r w:rsidR="005126B2">
        <w:rPr>
          <w:rFonts w:ascii="Times New Roman" w:hAnsi="Times New Roman" w:cs="Times New Roman"/>
          <w:sz w:val="24"/>
          <w:szCs w:val="24"/>
        </w:rPr>
        <w:t xml:space="preserve">institutions </w:t>
      </w:r>
      <w:r w:rsidR="009419DD">
        <w:rPr>
          <w:rFonts w:ascii="Times New Roman" w:hAnsi="Times New Roman" w:cs="Times New Roman"/>
          <w:sz w:val="24"/>
          <w:szCs w:val="24"/>
        </w:rPr>
        <w:t>à l’origine des actes invalidés</w:t>
      </w:r>
      <w:r w:rsidR="009419DD">
        <w:rPr>
          <w:rStyle w:val="Appelnotedebasdep"/>
          <w:rFonts w:ascii="Times New Roman" w:hAnsi="Times New Roman" w:cs="Times New Roman"/>
          <w:sz w:val="24"/>
          <w:szCs w:val="24"/>
        </w:rPr>
        <w:footnoteReference w:id="222"/>
      </w:r>
      <w:r w:rsidR="005350A9">
        <w:rPr>
          <w:rFonts w:ascii="Times New Roman" w:hAnsi="Times New Roman" w:cs="Times New Roman"/>
          <w:sz w:val="24"/>
          <w:szCs w:val="24"/>
        </w:rPr>
        <w:t>.</w:t>
      </w:r>
    </w:p>
    <w:p w:rsidR="00AE58EB"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Pour ce qui est de la juridiction de renvoi, l’arrêt en appréciation de validité produit ses effets dans l’espace et dans le temps. Dans l’espace, lorsque la Cour de justice se prononce sur le rejet de l’ensemble des moyens qui contestent la validité de l’acte communautaire en cause, le juge national pourra évidemment appliquer l’acte à </w:t>
      </w:r>
      <w:r w:rsidR="00047212" w:rsidRPr="00695693">
        <w:rPr>
          <w:rFonts w:ascii="Times New Roman" w:hAnsi="Times New Roman" w:cs="Times New Roman"/>
          <w:sz w:val="24"/>
          <w:szCs w:val="24"/>
        </w:rPr>
        <w:t>l’affaire pendante devant lui</w:t>
      </w:r>
      <w:r w:rsidR="00047212" w:rsidRPr="00695693">
        <w:rPr>
          <w:rStyle w:val="Appelnotedebasdep"/>
          <w:rFonts w:ascii="Times New Roman" w:hAnsi="Times New Roman" w:cs="Times New Roman"/>
          <w:sz w:val="24"/>
          <w:szCs w:val="24"/>
        </w:rPr>
        <w:footnoteReference w:id="223"/>
      </w:r>
      <w:r w:rsidR="00047212" w:rsidRPr="00695693">
        <w:rPr>
          <w:rFonts w:ascii="Times New Roman" w:hAnsi="Times New Roman" w:cs="Times New Roman"/>
          <w:sz w:val="24"/>
          <w:szCs w:val="24"/>
        </w:rPr>
        <w:t xml:space="preserve">. </w:t>
      </w:r>
      <w:r w:rsidRPr="00695693">
        <w:rPr>
          <w:rFonts w:ascii="Times New Roman" w:hAnsi="Times New Roman" w:cs="Times New Roman"/>
          <w:sz w:val="24"/>
          <w:szCs w:val="24"/>
        </w:rPr>
        <w:t>Cependant, si l’acte de la communauté est déclaré invalide par la Cour de justice, le juge national à l’initiative du recours est tenu d’en écarter l’application ainsi qu’éventuellement celle de tout acte interne adopté sur sa base. Cela veut dire que le juge de renvoi ne peut pas appliquer une disposition déclarée invalide par la Cour</w:t>
      </w:r>
      <w:r w:rsidRPr="00695693">
        <w:rPr>
          <w:rStyle w:val="Appelnotedebasdep"/>
          <w:rFonts w:ascii="Times New Roman" w:hAnsi="Times New Roman" w:cs="Times New Roman"/>
          <w:sz w:val="24"/>
          <w:szCs w:val="24"/>
        </w:rPr>
        <w:footnoteReference w:id="224"/>
      </w:r>
      <w:r w:rsidR="00047212" w:rsidRPr="00695693">
        <w:rPr>
          <w:rFonts w:ascii="Times New Roman" w:hAnsi="Times New Roman" w:cs="Times New Roman"/>
          <w:sz w:val="24"/>
          <w:szCs w:val="24"/>
        </w:rPr>
        <w:t xml:space="preserve">. </w:t>
      </w:r>
      <w:r w:rsidR="00F348B8">
        <w:rPr>
          <w:rFonts w:ascii="Times New Roman" w:hAnsi="Times New Roman" w:cs="Times New Roman"/>
          <w:sz w:val="24"/>
          <w:szCs w:val="24"/>
        </w:rPr>
        <w:t>Une telle invalidité est irrévocable et s’impose également aux autorités nationales, qui devront en tirer toutes les conséquences</w:t>
      </w:r>
      <w:r w:rsidR="00F348B8">
        <w:rPr>
          <w:rStyle w:val="Appelnotedebasdep"/>
          <w:rFonts w:ascii="Times New Roman" w:hAnsi="Times New Roman" w:cs="Times New Roman"/>
          <w:sz w:val="24"/>
          <w:szCs w:val="24"/>
        </w:rPr>
        <w:footnoteReference w:id="225"/>
      </w:r>
      <w:r w:rsidR="00C54E7B">
        <w:rPr>
          <w:rFonts w:ascii="Times New Roman" w:hAnsi="Times New Roman" w:cs="Times New Roman"/>
          <w:sz w:val="24"/>
          <w:szCs w:val="24"/>
        </w:rPr>
        <w:t>et en tenir compte en ce qui concerne les mesures nationales d’exécution</w:t>
      </w:r>
      <w:r w:rsidR="00C54E7B">
        <w:rPr>
          <w:rStyle w:val="Appelnotedebasdep"/>
          <w:rFonts w:ascii="Times New Roman" w:hAnsi="Times New Roman" w:cs="Times New Roman"/>
          <w:sz w:val="24"/>
          <w:szCs w:val="24"/>
        </w:rPr>
        <w:footnoteReference w:id="226"/>
      </w:r>
      <w:r w:rsidR="00DD1C61">
        <w:rPr>
          <w:rFonts w:ascii="Times New Roman" w:hAnsi="Times New Roman" w:cs="Times New Roman"/>
          <w:sz w:val="24"/>
          <w:szCs w:val="24"/>
        </w:rPr>
        <w:t xml:space="preserve">. </w:t>
      </w:r>
      <w:r w:rsidRPr="00695693">
        <w:rPr>
          <w:rFonts w:ascii="Times New Roman" w:hAnsi="Times New Roman" w:cs="Times New Roman"/>
          <w:sz w:val="24"/>
          <w:szCs w:val="24"/>
        </w:rPr>
        <w:t>Dans le temps, l’arrêt rendu à la suite d’une question d’appréciation de validité obéit, à l’image de celui en matière d’interprétation, au principe de la rétroactivité. Ainsi, l’acte déclaré invalide devra être considéré comme illégal dès son adoption</w:t>
      </w:r>
      <w:r w:rsidR="005350A9">
        <w:rPr>
          <w:rStyle w:val="Appelnotedebasdep"/>
          <w:rFonts w:ascii="Times New Roman" w:hAnsi="Times New Roman" w:cs="Times New Roman"/>
          <w:sz w:val="24"/>
          <w:szCs w:val="24"/>
        </w:rPr>
        <w:footnoteReference w:id="227"/>
      </w:r>
      <w:r w:rsidR="00617272">
        <w:rPr>
          <w:rFonts w:ascii="Times New Roman" w:hAnsi="Times New Roman" w:cs="Times New Roman"/>
          <w:sz w:val="24"/>
          <w:szCs w:val="24"/>
        </w:rPr>
        <w:t>.</w:t>
      </w:r>
      <w:r w:rsidRPr="00695693">
        <w:rPr>
          <w:rFonts w:ascii="Times New Roman" w:hAnsi="Times New Roman" w:cs="Times New Roman"/>
          <w:sz w:val="24"/>
          <w:szCs w:val="24"/>
        </w:rPr>
        <w:t xml:space="preserve"> Il en est de même pour l’ensemble des actes adoptés sur sa base. Toutefois, lorsque la rétroactivité est susceptible d’entrainer des perturbations graves, le juge communautaire peut décider de sa </w:t>
      </w:r>
      <w:r w:rsidRPr="00695693">
        <w:rPr>
          <w:rFonts w:ascii="Times New Roman" w:hAnsi="Times New Roman" w:cs="Times New Roman"/>
          <w:sz w:val="24"/>
          <w:szCs w:val="24"/>
        </w:rPr>
        <w:lastRenderedPageBreak/>
        <w:t>seule initiative de limiter les effets de ses arrêts d’invalidation</w:t>
      </w:r>
      <w:r w:rsidR="00EE29B6">
        <w:rPr>
          <w:rStyle w:val="Appelnotedebasdep"/>
          <w:rFonts w:ascii="Times New Roman" w:hAnsi="Times New Roman" w:cs="Times New Roman"/>
          <w:sz w:val="24"/>
          <w:szCs w:val="24"/>
        </w:rPr>
        <w:footnoteReference w:id="228"/>
      </w:r>
      <w:r w:rsidRPr="00695693">
        <w:rPr>
          <w:rFonts w:ascii="Times New Roman" w:hAnsi="Times New Roman" w:cs="Times New Roman"/>
          <w:sz w:val="24"/>
          <w:szCs w:val="24"/>
        </w:rPr>
        <w:t>.  La CJCE a admis que l’invalidité qu’elle constatait ne permettait pas de remettre en cause les mesures d’exécution de l’acte communautaire invalidé pour la période antérieure à la date de son arrêt d’invalidation</w:t>
      </w:r>
      <w:r w:rsidRPr="00695693">
        <w:rPr>
          <w:rStyle w:val="Appelnotedebasdep"/>
          <w:rFonts w:ascii="Times New Roman" w:hAnsi="Times New Roman" w:cs="Times New Roman"/>
          <w:sz w:val="24"/>
          <w:szCs w:val="24"/>
        </w:rPr>
        <w:footnoteReference w:id="229"/>
      </w:r>
      <w:r w:rsidR="00D91707" w:rsidRPr="00695693">
        <w:rPr>
          <w:rFonts w:ascii="Times New Roman" w:hAnsi="Times New Roman" w:cs="Times New Roman"/>
          <w:sz w:val="24"/>
          <w:szCs w:val="24"/>
        </w:rPr>
        <w:t xml:space="preserve">. </w:t>
      </w:r>
    </w:p>
    <w:p w:rsidR="00D345BE"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Pour ce qui est des autres instances nationales, celles-ci sont aussi concernées par les effets de l’arrêt appréciatif de validité rendu par la Cour de justice communautaire. La CJCE dit qu’un arrêt constatant l’invalidité d’un acte d’une institution « </w:t>
      </w:r>
      <w:r w:rsidRPr="00695693">
        <w:rPr>
          <w:rFonts w:ascii="Times New Roman" w:hAnsi="Times New Roman" w:cs="Times New Roman"/>
          <w:i/>
          <w:sz w:val="24"/>
          <w:szCs w:val="24"/>
        </w:rPr>
        <w:t>bien qu’il ne soit adressé directement qu’au juge qui a saisi la Cour, constitue une raison suffisante pour tout autre juge de considérer cet acte comme non valide pour les besoins d’une décision qu’il doitrendre</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230"/>
      </w:r>
      <w:r w:rsidRPr="00695693">
        <w:rPr>
          <w:rFonts w:ascii="Times New Roman" w:hAnsi="Times New Roman" w:cs="Times New Roman"/>
          <w:sz w:val="24"/>
          <w:szCs w:val="24"/>
        </w:rPr>
        <w:t xml:space="preserve">. </w:t>
      </w:r>
      <w:r w:rsidR="007F0A15" w:rsidRPr="00695693">
        <w:rPr>
          <w:rFonts w:ascii="Times New Roman" w:hAnsi="Times New Roman" w:cs="Times New Roman"/>
          <w:sz w:val="24"/>
          <w:szCs w:val="24"/>
        </w:rPr>
        <w:t>E</w:t>
      </w:r>
      <w:r w:rsidRPr="00695693">
        <w:rPr>
          <w:rFonts w:ascii="Times New Roman" w:hAnsi="Times New Roman" w:cs="Times New Roman"/>
          <w:sz w:val="24"/>
          <w:szCs w:val="24"/>
        </w:rPr>
        <w:t>n d’autres termes, toutes les autres instances des Etats parties à la communauté sont liées par l’arrêt d’invalidité de la Cour, dès lors qu’elles auront à statuer sur le même litige que la juridiction de renvoi.</w:t>
      </w:r>
    </w:p>
    <w:p w:rsidR="000F34DE" w:rsidRDefault="008A2795" w:rsidP="00A54BB5">
      <w:pPr>
        <w:spacing w:line="360" w:lineRule="auto"/>
        <w:jc w:val="both"/>
      </w:pPr>
      <w:r>
        <w:rPr>
          <w:rFonts w:ascii="Times New Roman" w:hAnsi="Times New Roman" w:cs="Times New Roman"/>
          <w:sz w:val="24"/>
          <w:szCs w:val="24"/>
        </w:rPr>
        <w:t>Pour ce qui est des institutions à l’origine des actes invalidés, il leur appartient de prendre toutes les initiatives indispensables pour mettre fin à cette incompatibilité</w:t>
      </w:r>
      <w:r>
        <w:rPr>
          <w:rStyle w:val="Appelnotedebasdep"/>
          <w:rFonts w:ascii="Times New Roman" w:hAnsi="Times New Roman" w:cs="Times New Roman"/>
          <w:sz w:val="24"/>
          <w:szCs w:val="24"/>
        </w:rPr>
        <w:footnoteReference w:id="231"/>
      </w:r>
      <w:r w:rsidR="006C7C99">
        <w:rPr>
          <w:rFonts w:ascii="Times New Roman" w:hAnsi="Times New Roman" w:cs="Times New Roman"/>
          <w:sz w:val="24"/>
          <w:szCs w:val="24"/>
        </w:rPr>
        <w:t>. L’institution responsable doit donc prendre</w:t>
      </w:r>
      <w:r w:rsidR="00F61B11">
        <w:rPr>
          <w:rFonts w:ascii="Times New Roman" w:hAnsi="Times New Roman" w:cs="Times New Roman"/>
          <w:sz w:val="24"/>
          <w:szCs w:val="24"/>
        </w:rPr>
        <w:t xml:space="preserve"> toutes les mesures que comporte l’exécution de l’arrêt</w:t>
      </w:r>
      <w:r w:rsidR="00D57E30">
        <w:rPr>
          <w:rFonts w:ascii="Times New Roman" w:hAnsi="Times New Roman" w:cs="Times New Roman"/>
          <w:sz w:val="24"/>
          <w:szCs w:val="24"/>
        </w:rPr>
        <w:t xml:space="preserve"> du juge communautaire pour remédier à cette incompatibilité</w:t>
      </w:r>
      <w:r w:rsidR="00D57E30">
        <w:rPr>
          <w:rStyle w:val="Appelnotedebasdep"/>
          <w:rFonts w:ascii="Times New Roman" w:hAnsi="Times New Roman" w:cs="Times New Roman"/>
          <w:sz w:val="24"/>
          <w:szCs w:val="24"/>
        </w:rPr>
        <w:footnoteReference w:id="232"/>
      </w:r>
      <w:r w:rsidR="00662DBC">
        <w:rPr>
          <w:rFonts w:ascii="Times New Roman" w:hAnsi="Times New Roman" w:cs="Times New Roman"/>
          <w:sz w:val="24"/>
          <w:szCs w:val="24"/>
        </w:rPr>
        <w:t>. Toutefois, dans l’hypothèse où cette institution n’a pas pu tirer toutes les conséquences d’un tel arrêt, le juge communautaire a reconnu la possibilité pour les victimes d’intenter un recours en indemnité</w:t>
      </w:r>
      <w:r w:rsidR="009A0E9A">
        <w:rPr>
          <w:rFonts w:ascii="Times New Roman" w:hAnsi="Times New Roman" w:cs="Times New Roman"/>
          <w:sz w:val="24"/>
          <w:szCs w:val="24"/>
        </w:rPr>
        <w:t xml:space="preserve"> contre l’institution responsable</w:t>
      </w:r>
      <w:r w:rsidR="00662DBC">
        <w:rPr>
          <w:rStyle w:val="Appelnotedebasdep"/>
          <w:rFonts w:ascii="Times New Roman" w:hAnsi="Times New Roman" w:cs="Times New Roman"/>
          <w:sz w:val="24"/>
          <w:szCs w:val="24"/>
        </w:rPr>
        <w:footnoteReference w:id="233"/>
      </w:r>
      <w:r w:rsidR="00770FF6">
        <w:rPr>
          <w:rFonts w:ascii="Times New Roman" w:hAnsi="Times New Roman" w:cs="Times New Roman"/>
          <w:sz w:val="24"/>
          <w:szCs w:val="24"/>
        </w:rPr>
        <w:t>.</w:t>
      </w:r>
    </w:p>
    <w:p w:rsidR="00114F63" w:rsidRDefault="00694424" w:rsidP="00414AB8">
      <w:pPr>
        <w:pStyle w:val="Titre1"/>
      </w:pPr>
      <w:bookmarkStart w:id="59" w:name="_Toc515108229"/>
      <w:bookmarkStart w:id="60" w:name="_Toc518671710"/>
      <w:bookmarkStart w:id="61" w:name="_Toc518672808"/>
      <w:r w:rsidRPr="00BF135F">
        <w:t xml:space="preserve">CONCLUSION DU TITRE </w:t>
      </w:r>
      <w:r w:rsidR="00BC4F8D" w:rsidRPr="00BF135F">
        <w:t>I</w:t>
      </w:r>
      <w:bookmarkEnd w:id="59"/>
      <w:bookmarkEnd w:id="60"/>
      <w:bookmarkEnd w:id="61"/>
    </w:p>
    <w:p w:rsidR="00C474C0" w:rsidRPr="00C474C0" w:rsidRDefault="00C474C0" w:rsidP="00C474C0"/>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Il ressort des développements précédents que l’affirmation du m</w:t>
      </w:r>
      <w:r w:rsidR="002325CB" w:rsidRPr="00695693">
        <w:rPr>
          <w:rFonts w:ascii="Times New Roman" w:hAnsi="Times New Roman" w:cs="Times New Roman"/>
          <w:sz w:val="24"/>
          <w:szCs w:val="24"/>
        </w:rPr>
        <w:t>écanisme de recours préjudiciel en droit CEDEAO</w:t>
      </w:r>
      <w:r w:rsidRPr="00695693">
        <w:rPr>
          <w:rFonts w:ascii="Times New Roman" w:hAnsi="Times New Roman" w:cs="Times New Roman"/>
          <w:sz w:val="24"/>
          <w:szCs w:val="24"/>
        </w:rPr>
        <w:t xml:space="preserve"> est effective. En effet, l’effectivité dont il est question ici est </w:t>
      </w:r>
      <w:r w:rsidRPr="00695693">
        <w:rPr>
          <w:rFonts w:ascii="Times New Roman" w:hAnsi="Times New Roman" w:cs="Times New Roman"/>
          <w:sz w:val="24"/>
          <w:szCs w:val="24"/>
        </w:rPr>
        <w:lastRenderedPageBreak/>
        <w:t>théorique. Elle est à vérifier à la fois dans les outils de mise en œuvre du recours préjudiciel et dans l’instance à laquelle doit suivre ledit recours.</w:t>
      </w:r>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S’agissant des outils de mise en œuvre, le droit CEDEAO possède une panoplie des instruments et mécanismes tendant à donner effet à toute préoccupation de l’organe national en matière de recours </w:t>
      </w:r>
      <w:r w:rsidR="002325CB" w:rsidRPr="00695693">
        <w:rPr>
          <w:rFonts w:ascii="Times New Roman" w:hAnsi="Times New Roman" w:cs="Times New Roman"/>
          <w:sz w:val="24"/>
          <w:szCs w:val="24"/>
        </w:rPr>
        <w:t>préjudiciel.</w:t>
      </w:r>
      <w:r w:rsidRPr="00695693">
        <w:rPr>
          <w:rFonts w:ascii="Times New Roman" w:hAnsi="Times New Roman" w:cs="Times New Roman"/>
          <w:sz w:val="24"/>
          <w:szCs w:val="24"/>
        </w:rPr>
        <w:t xml:space="preserve"> Pour les instruments, le législateur CEDEAO, à l’image de celui de l’UEMOA, de la CEMAC et de l’Union européen, a accepté l’inclusion dans le champ d’application du renvoi préjudiciel, à la fois des normes du droit communautaire primaire</w:t>
      </w:r>
      <w:r w:rsidR="000D5E66" w:rsidRPr="00695693">
        <w:rPr>
          <w:rStyle w:val="Appelnotedebasdep"/>
          <w:rFonts w:ascii="Times New Roman" w:hAnsi="Times New Roman" w:cs="Times New Roman"/>
          <w:sz w:val="24"/>
          <w:szCs w:val="24"/>
        </w:rPr>
        <w:footnoteReference w:id="234"/>
      </w:r>
      <w:r w:rsidRPr="00695693">
        <w:rPr>
          <w:rFonts w:ascii="Times New Roman" w:hAnsi="Times New Roman" w:cs="Times New Roman"/>
          <w:sz w:val="24"/>
          <w:szCs w:val="24"/>
        </w:rPr>
        <w:t>et des normes du droit communautaire dérivé</w:t>
      </w:r>
      <w:r w:rsidR="000D5E66" w:rsidRPr="00695693">
        <w:rPr>
          <w:rStyle w:val="Appelnotedebasdep"/>
          <w:rFonts w:ascii="Times New Roman" w:hAnsi="Times New Roman" w:cs="Times New Roman"/>
          <w:sz w:val="24"/>
          <w:szCs w:val="24"/>
        </w:rPr>
        <w:footnoteReference w:id="235"/>
      </w:r>
      <w:r w:rsidR="00513B6B" w:rsidRPr="00695693">
        <w:rPr>
          <w:rFonts w:ascii="Times New Roman" w:hAnsi="Times New Roman" w:cs="Times New Roman"/>
          <w:sz w:val="24"/>
          <w:szCs w:val="24"/>
        </w:rPr>
        <w:t xml:space="preserve">. </w:t>
      </w:r>
      <w:r w:rsidRPr="00695693">
        <w:rPr>
          <w:rFonts w:ascii="Times New Roman" w:hAnsi="Times New Roman" w:cs="Times New Roman"/>
          <w:sz w:val="24"/>
          <w:szCs w:val="24"/>
        </w:rPr>
        <w:t>Pour les mécanismes, le législateur CEDEAO a prévu les organes qui doivent intervenir dans la mise en œuvre du renvoi préjudiciel. Il s’agit essentiellement des juridictions nationales des Etats membres</w:t>
      </w:r>
      <w:r w:rsidR="00513B6B" w:rsidRPr="00695693">
        <w:rPr>
          <w:rFonts w:ascii="Times New Roman" w:hAnsi="Times New Roman" w:cs="Times New Roman"/>
          <w:sz w:val="24"/>
          <w:szCs w:val="24"/>
        </w:rPr>
        <w:t xml:space="preserve"> de la CEDEAO et de la Cour de j</w:t>
      </w:r>
      <w:r w:rsidRPr="00695693">
        <w:rPr>
          <w:rFonts w:ascii="Times New Roman" w:hAnsi="Times New Roman" w:cs="Times New Roman"/>
          <w:sz w:val="24"/>
          <w:szCs w:val="24"/>
        </w:rPr>
        <w:t>ustice de la Communauté CEDEAO. Si l’initiative du recours appartient aux premières, le Traitement de la question revient à la Seconde.</w:t>
      </w:r>
    </w:p>
    <w:p w:rsidR="00C5073A"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S’agissant de l’instance préjudicielle, le droit CEDEAO, à l’instar du droit UEMOA et européen, subordonne l’exercice du renvoi préjudiciel à la réunion des conditions générales énumérées ci-dessus. En guise de rappel, il s’agit de la qualité de l’organe national, de la difficulté d’interprétation d’un acte CEDEAO ou d’un doute sur sa validité, de la nécessité de la réponse de la Cour pour le règlement du litige national, de l’utilité de la question à la résolution du litige national, etc.</w:t>
      </w:r>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Toutefois, malgré toute cette consécration théorique</w:t>
      </w:r>
      <w:r w:rsidR="00C5073A">
        <w:rPr>
          <w:rFonts w:ascii="Times New Roman" w:hAnsi="Times New Roman" w:cs="Times New Roman"/>
          <w:sz w:val="24"/>
          <w:szCs w:val="24"/>
        </w:rPr>
        <w:t xml:space="preserve">, le mécanisme du renvoi préjudiciel reste pratiquement inexploité dans l’espace CEDEAO. </w:t>
      </w:r>
    </w:p>
    <w:p w:rsidR="00694424" w:rsidRDefault="00694424" w:rsidP="00414AB8">
      <w:pPr>
        <w:pStyle w:val="Titre1"/>
      </w:pPr>
      <w:bookmarkStart w:id="62" w:name="_Toc515108230"/>
      <w:bookmarkStart w:id="63" w:name="_Toc518671711"/>
      <w:bookmarkStart w:id="64" w:name="_Toc518672809"/>
      <w:r w:rsidRPr="001E26D1">
        <w:t>TITRE</w:t>
      </w:r>
      <w:r w:rsidR="00BC4F8D" w:rsidRPr="001E26D1">
        <w:t xml:space="preserve"> II</w:t>
      </w:r>
      <w:r w:rsidRPr="001E26D1">
        <w:t> : UN RENVOI PRATIQUEMENT INEXPLOITE</w:t>
      </w:r>
      <w:bookmarkEnd w:id="62"/>
      <w:bookmarkEnd w:id="63"/>
      <w:bookmarkEnd w:id="64"/>
    </w:p>
    <w:p w:rsidR="005342D7" w:rsidRPr="005342D7" w:rsidRDefault="005342D7" w:rsidP="005342D7"/>
    <w:p w:rsidR="00B24F9C"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En dépit </w:t>
      </w:r>
      <w:r w:rsidR="00367FEE" w:rsidRPr="00695693">
        <w:rPr>
          <w:rFonts w:ascii="Times New Roman" w:hAnsi="Times New Roman" w:cs="Times New Roman"/>
          <w:sz w:val="24"/>
          <w:szCs w:val="24"/>
        </w:rPr>
        <w:t>de sa consécration théorique, l</w:t>
      </w:r>
      <w:r w:rsidR="00337E79" w:rsidRPr="00695693">
        <w:rPr>
          <w:rFonts w:ascii="Times New Roman" w:hAnsi="Times New Roman" w:cs="Times New Roman"/>
          <w:sz w:val="24"/>
          <w:szCs w:val="24"/>
        </w:rPr>
        <w:t>e mécanisme du re</w:t>
      </w:r>
      <w:r w:rsidR="005A35AB">
        <w:rPr>
          <w:rFonts w:ascii="Times New Roman" w:hAnsi="Times New Roman" w:cs="Times New Roman"/>
          <w:sz w:val="24"/>
          <w:szCs w:val="24"/>
        </w:rPr>
        <w:t>nvoi</w:t>
      </w:r>
      <w:r w:rsidR="00337E79" w:rsidRPr="00695693">
        <w:rPr>
          <w:rFonts w:ascii="Times New Roman" w:hAnsi="Times New Roman" w:cs="Times New Roman"/>
          <w:sz w:val="24"/>
          <w:szCs w:val="24"/>
        </w:rPr>
        <w:t xml:space="preserve"> préjudiciel dans le système CEDEAO </w:t>
      </w:r>
      <w:r w:rsidR="00D960DE">
        <w:rPr>
          <w:rFonts w:ascii="Times New Roman" w:hAnsi="Times New Roman" w:cs="Times New Roman"/>
          <w:sz w:val="24"/>
          <w:szCs w:val="24"/>
        </w:rPr>
        <w:t xml:space="preserve">est loin d’accomplir </w:t>
      </w:r>
      <w:r w:rsidR="005A35AB">
        <w:rPr>
          <w:rFonts w:ascii="Times New Roman" w:hAnsi="Times New Roman" w:cs="Times New Roman"/>
          <w:sz w:val="24"/>
          <w:szCs w:val="24"/>
        </w:rPr>
        <w:t xml:space="preserve">concrètement l’objectif primordial pour lequel il a été consacré.  </w:t>
      </w:r>
      <w:r w:rsidR="00005986">
        <w:rPr>
          <w:rFonts w:ascii="Times New Roman" w:hAnsi="Times New Roman" w:cs="Times New Roman"/>
          <w:sz w:val="24"/>
          <w:szCs w:val="24"/>
        </w:rPr>
        <w:t xml:space="preserve">Cependant, </w:t>
      </w:r>
      <w:r w:rsidR="00D960DE">
        <w:rPr>
          <w:rFonts w:ascii="Times New Roman" w:hAnsi="Times New Roman" w:cs="Times New Roman"/>
          <w:sz w:val="24"/>
          <w:szCs w:val="24"/>
        </w:rPr>
        <w:t xml:space="preserve">s’il est possible de justifier cette situation par l’inexploitation pratique de cette voie de droit, il n’en demeure pas moins de rappeler que cette </w:t>
      </w:r>
      <w:r w:rsidR="00337E79" w:rsidRPr="00695693">
        <w:rPr>
          <w:rFonts w:ascii="Times New Roman" w:hAnsi="Times New Roman" w:cs="Times New Roman"/>
          <w:sz w:val="24"/>
          <w:szCs w:val="24"/>
        </w:rPr>
        <w:t>inexploitation est certainement due à u</w:t>
      </w:r>
      <w:r w:rsidR="002D2DE0" w:rsidRPr="00695693">
        <w:rPr>
          <w:rFonts w:ascii="Times New Roman" w:hAnsi="Times New Roman" w:cs="Times New Roman"/>
          <w:sz w:val="24"/>
          <w:szCs w:val="24"/>
        </w:rPr>
        <w:t>n certain nombre de</w:t>
      </w:r>
      <w:r w:rsidR="00337E79" w:rsidRPr="00695693">
        <w:rPr>
          <w:rFonts w:ascii="Times New Roman" w:hAnsi="Times New Roman" w:cs="Times New Roman"/>
          <w:sz w:val="24"/>
          <w:szCs w:val="24"/>
        </w:rPr>
        <w:t xml:space="preserve"> difficultés liée</w:t>
      </w:r>
      <w:r w:rsidR="009612D2" w:rsidRPr="00695693">
        <w:rPr>
          <w:rFonts w:ascii="Times New Roman" w:hAnsi="Times New Roman" w:cs="Times New Roman"/>
          <w:sz w:val="24"/>
          <w:szCs w:val="24"/>
        </w:rPr>
        <w:t>s</w:t>
      </w:r>
      <w:r w:rsidR="00A5787D" w:rsidRPr="00695693">
        <w:rPr>
          <w:rFonts w:ascii="Times New Roman" w:hAnsi="Times New Roman" w:cs="Times New Roman"/>
          <w:sz w:val="24"/>
          <w:szCs w:val="24"/>
        </w:rPr>
        <w:t xml:space="preserve"> aux acteurs</w:t>
      </w:r>
      <w:r w:rsidR="00337E79" w:rsidRPr="00695693">
        <w:rPr>
          <w:rFonts w:ascii="Times New Roman" w:hAnsi="Times New Roman" w:cs="Times New Roman"/>
          <w:sz w:val="24"/>
          <w:szCs w:val="24"/>
        </w:rPr>
        <w:t xml:space="preserve"> de la mise en œuvre </w:t>
      </w:r>
      <w:r w:rsidR="00337E79" w:rsidRPr="00695693">
        <w:rPr>
          <w:rFonts w:ascii="Times New Roman" w:hAnsi="Times New Roman" w:cs="Times New Roman"/>
          <w:sz w:val="24"/>
          <w:szCs w:val="24"/>
        </w:rPr>
        <w:lastRenderedPageBreak/>
        <w:t>dudit recours.</w:t>
      </w:r>
      <w:r w:rsidR="00EF494D" w:rsidRPr="00695693">
        <w:rPr>
          <w:rFonts w:ascii="Times New Roman" w:hAnsi="Times New Roman" w:cs="Times New Roman"/>
          <w:sz w:val="24"/>
          <w:szCs w:val="24"/>
        </w:rPr>
        <w:t>En effet, une étude comparée du système CEDEAO avec celui de l’Union européenne a permis de retenir deux raisons principales expliquant l’inexploitation du recours préjudiciel de manière générale et particulièrement devant le juge CEDEAO. Il s’agit</w:t>
      </w:r>
      <w:r w:rsidR="00191BFB">
        <w:rPr>
          <w:rFonts w:ascii="Times New Roman" w:hAnsi="Times New Roman" w:cs="Times New Roman"/>
          <w:sz w:val="24"/>
          <w:szCs w:val="24"/>
        </w:rPr>
        <w:t>,</w:t>
      </w:r>
      <w:r w:rsidR="00EF494D" w:rsidRPr="00695693">
        <w:rPr>
          <w:rFonts w:ascii="Times New Roman" w:hAnsi="Times New Roman" w:cs="Times New Roman"/>
          <w:sz w:val="24"/>
          <w:szCs w:val="24"/>
        </w:rPr>
        <w:t xml:space="preserve"> d’une part</w:t>
      </w:r>
      <w:r w:rsidR="00191BFB">
        <w:rPr>
          <w:rFonts w:ascii="Times New Roman" w:hAnsi="Times New Roman" w:cs="Times New Roman"/>
          <w:sz w:val="24"/>
          <w:szCs w:val="24"/>
        </w:rPr>
        <w:t>,</w:t>
      </w:r>
      <w:r w:rsidR="00EF494D" w:rsidRPr="00695693">
        <w:rPr>
          <w:rFonts w:ascii="Times New Roman" w:hAnsi="Times New Roman" w:cs="Times New Roman"/>
          <w:sz w:val="24"/>
          <w:szCs w:val="24"/>
        </w:rPr>
        <w:t xml:space="preserve"> des </w:t>
      </w:r>
      <w:r w:rsidR="008D5A17" w:rsidRPr="00695693">
        <w:rPr>
          <w:rFonts w:ascii="Times New Roman" w:hAnsi="Times New Roman" w:cs="Times New Roman"/>
          <w:sz w:val="24"/>
          <w:szCs w:val="24"/>
        </w:rPr>
        <w:t>entraves</w:t>
      </w:r>
      <w:r w:rsidR="00EF494D" w:rsidRPr="00695693">
        <w:rPr>
          <w:rFonts w:ascii="Times New Roman" w:hAnsi="Times New Roman" w:cs="Times New Roman"/>
          <w:sz w:val="24"/>
          <w:szCs w:val="24"/>
        </w:rPr>
        <w:t xml:space="preserve"> procédurales</w:t>
      </w:r>
      <w:r w:rsidR="008D5A17" w:rsidRPr="00695693">
        <w:rPr>
          <w:rFonts w:ascii="Times New Roman" w:hAnsi="Times New Roman" w:cs="Times New Roman"/>
          <w:sz w:val="24"/>
          <w:szCs w:val="24"/>
        </w:rPr>
        <w:t xml:space="preserve"> empêchant le recours au renvoi préjudiciel</w:t>
      </w:r>
      <w:r w:rsidR="00AB18BC" w:rsidRPr="00695693">
        <w:rPr>
          <w:rStyle w:val="Appelnotedebasdep"/>
          <w:rFonts w:ascii="Times New Roman" w:hAnsi="Times New Roman" w:cs="Times New Roman"/>
          <w:sz w:val="24"/>
          <w:szCs w:val="24"/>
        </w:rPr>
        <w:footnoteReference w:id="236"/>
      </w:r>
      <w:r w:rsidR="00EF494D" w:rsidRPr="00695693">
        <w:rPr>
          <w:rFonts w:ascii="Times New Roman" w:hAnsi="Times New Roman" w:cs="Times New Roman"/>
          <w:sz w:val="24"/>
          <w:szCs w:val="24"/>
        </w:rPr>
        <w:t xml:space="preserve"> (</w:t>
      </w:r>
      <w:r w:rsidR="00EF494D" w:rsidRPr="00695693">
        <w:rPr>
          <w:rFonts w:ascii="Times New Roman" w:hAnsi="Times New Roman" w:cs="Times New Roman"/>
          <w:b/>
          <w:sz w:val="24"/>
          <w:szCs w:val="24"/>
        </w:rPr>
        <w:t>Chapitre</w:t>
      </w:r>
      <w:r w:rsidR="00BC4F8D" w:rsidRPr="00695693">
        <w:rPr>
          <w:rFonts w:ascii="Times New Roman" w:hAnsi="Times New Roman" w:cs="Times New Roman"/>
          <w:b/>
          <w:sz w:val="24"/>
          <w:szCs w:val="24"/>
        </w:rPr>
        <w:t xml:space="preserve"> I</w:t>
      </w:r>
      <w:r w:rsidR="00AB18BC" w:rsidRPr="00695693">
        <w:rPr>
          <w:rFonts w:ascii="Times New Roman" w:hAnsi="Times New Roman" w:cs="Times New Roman"/>
          <w:sz w:val="24"/>
          <w:szCs w:val="24"/>
        </w:rPr>
        <w:t>)</w:t>
      </w:r>
      <w:r w:rsidR="008D5A17" w:rsidRPr="00695693">
        <w:rPr>
          <w:rFonts w:ascii="Times New Roman" w:hAnsi="Times New Roman" w:cs="Times New Roman"/>
          <w:sz w:val="24"/>
          <w:szCs w:val="24"/>
        </w:rPr>
        <w:t xml:space="preserve"> et</w:t>
      </w:r>
      <w:r w:rsidR="00191BFB">
        <w:rPr>
          <w:rFonts w:ascii="Times New Roman" w:hAnsi="Times New Roman" w:cs="Times New Roman"/>
          <w:sz w:val="24"/>
          <w:szCs w:val="24"/>
        </w:rPr>
        <w:t>,</w:t>
      </w:r>
      <w:r w:rsidR="008D5A17" w:rsidRPr="00695693">
        <w:rPr>
          <w:rFonts w:ascii="Times New Roman" w:hAnsi="Times New Roman" w:cs="Times New Roman"/>
          <w:sz w:val="24"/>
          <w:szCs w:val="24"/>
        </w:rPr>
        <w:t xml:space="preserve"> d’autre part</w:t>
      </w:r>
      <w:r w:rsidR="00191BFB">
        <w:rPr>
          <w:rFonts w:ascii="Times New Roman" w:hAnsi="Times New Roman" w:cs="Times New Roman"/>
          <w:sz w:val="24"/>
          <w:szCs w:val="24"/>
        </w:rPr>
        <w:t>,</w:t>
      </w:r>
      <w:r w:rsidR="008D5A17" w:rsidRPr="00695693">
        <w:rPr>
          <w:rFonts w:ascii="Times New Roman" w:hAnsi="Times New Roman" w:cs="Times New Roman"/>
          <w:sz w:val="24"/>
          <w:szCs w:val="24"/>
        </w:rPr>
        <w:t xml:space="preserve"> des entraves</w:t>
      </w:r>
      <w:r w:rsidR="00AB18BC" w:rsidRPr="00695693">
        <w:rPr>
          <w:rFonts w:ascii="Times New Roman" w:hAnsi="Times New Roman" w:cs="Times New Roman"/>
          <w:sz w:val="24"/>
          <w:szCs w:val="24"/>
        </w:rPr>
        <w:t xml:space="preserve"> matérielles</w:t>
      </w:r>
      <w:r w:rsidR="008D5A17" w:rsidRPr="00695693">
        <w:rPr>
          <w:rFonts w:ascii="Times New Roman" w:hAnsi="Times New Roman" w:cs="Times New Roman"/>
          <w:sz w:val="24"/>
          <w:szCs w:val="24"/>
        </w:rPr>
        <w:t xml:space="preserve"> empêchant le recours audit renvoi</w:t>
      </w:r>
      <w:r w:rsidR="00AB18BC" w:rsidRPr="00695693">
        <w:rPr>
          <w:rStyle w:val="Appelnotedebasdep"/>
          <w:rFonts w:ascii="Times New Roman" w:hAnsi="Times New Roman" w:cs="Times New Roman"/>
          <w:sz w:val="24"/>
          <w:szCs w:val="24"/>
        </w:rPr>
        <w:footnoteReference w:id="237"/>
      </w:r>
      <w:r w:rsidR="00AB18BC" w:rsidRPr="00695693">
        <w:rPr>
          <w:rFonts w:ascii="Times New Roman" w:hAnsi="Times New Roman" w:cs="Times New Roman"/>
          <w:sz w:val="24"/>
          <w:szCs w:val="24"/>
        </w:rPr>
        <w:t xml:space="preserve"> (</w:t>
      </w:r>
      <w:r w:rsidR="00AB18BC" w:rsidRPr="00695693">
        <w:rPr>
          <w:rFonts w:ascii="Times New Roman" w:hAnsi="Times New Roman" w:cs="Times New Roman"/>
          <w:b/>
          <w:sz w:val="24"/>
          <w:szCs w:val="24"/>
        </w:rPr>
        <w:t>Chapitre</w:t>
      </w:r>
      <w:r w:rsidR="00BC4F8D" w:rsidRPr="00695693">
        <w:rPr>
          <w:rFonts w:ascii="Times New Roman" w:hAnsi="Times New Roman" w:cs="Times New Roman"/>
          <w:b/>
          <w:sz w:val="24"/>
          <w:szCs w:val="24"/>
        </w:rPr>
        <w:t xml:space="preserve"> II</w:t>
      </w:r>
      <w:r w:rsidR="00AB18BC" w:rsidRPr="00695693">
        <w:rPr>
          <w:rFonts w:ascii="Times New Roman" w:hAnsi="Times New Roman" w:cs="Times New Roman"/>
          <w:sz w:val="24"/>
          <w:szCs w:val="24"/>
        </w:rPr>
        <w:t>).</w:t>
      </w:r>
    </w:p>
    <w:p w:rsidR="00AF41D9" w:rsidRDefault="00AF41D9">
      <w:bookmarkStart w:id="65" w:name="_Toc515108231"/>
      <w:r>
        <w:br w:type="page"/>
      </w:r>
    </w:p>
    <w:p w:rsidR="00694424" w:rsidRPr="001E26D1" w:rsidRDefault="00694424" w:rsidP="005B471C">
      <w:pPr>
        <w:pStyle w:val="Titre2"/>
      </w:pPr>
      <w:bookmarkStart w:id="66" w:name="_Toc518671712"/>
      <w:bookmarkStart w:id="67" w:name="_Toc518672810"/>
      <w:r w:rsidRPr="001E26D1">
        <w:lastRenderedPageBreak/>
        <w:t>CHAPITRE</w:t>
      </w:r>
      <w:r w:rsidR="00BC4F8D" w:rsidRPr="001E26D1">
        <w:t xml:space="preserve"> I</w:t>
      </w:r>
      <w:r w:rsidRPr="001E26D1">
        <w:t> : LES ENTRAVES PROCEDURALES EMPECHANT LE RECOURS AU RENVOI PREJUDICIEL</w:t>
      </w:r>
      <w:bookmarkEnd w:id="65"/>
      <w:bookmarkEnd w:id="66"/>
      <w:bookmarkEnd w:id="67"/>
    </w:p>
    <w:p w:rsidR="00694424" w:rsidRPr="00695693" w:rsidRDefault="001000B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La collaboration</w:t>
      </w:r>
      <w:r w:rsidR="00694424" w:rsidRPr="00695693">
        <w:rPr>
          <w:rFonts w:ascii="Times New Roman" w:hAnsi="Times New Roman" w:cs="Times New Roman"/>
          <w:sz w:val="24"/>
          <w:szCs w:val="24"/>
        </w:rPr>
        <w:t xml:space="preserve"> entre les juridictions nationales</w:t>
      </w:r>
      <w:r w:rsidRPr="00695693">
        <w:rPr>
          <w:rFonts w:ascii="Times New Roman" w:hAnsi="Times New Roman" w:cs="Times New Roman"/>
          <w:sz w:val="24"/>
          <w:szCs w:val="24"/>
        </w:rPr>
        <w:t xml:space="preserve"> des Etats membres</w:t>
      </w:r>
      <w:r w:rsidR="00A5787D" w:rsidRPr="00695693">
        <w:rPr>
          <w:rFonts w:ascii="Times New Roman" w:hAnsi="Times New Roman" w:cs="Times New Roman"/>
          <w:sz w:val="24"/>
          <w:szCs w:val="24"/>
        </w:rPr>
        <w:t xml:space="preserve"> et la Cour de j</w:t>
      </w:r>
      <w:r w:rsidR="00694424" w:rsidRPr="00695693">
        <w:rPr>
          <w:rFonts w:ascii="Times New Roman" w:hAnsi="Times New Roman" w:cs="Times New Roman"/>
          <w:sz w:val="24"/>
          <w:szCs w:val="24"/>
        </w:rPr>
        <w:t xml:space="preserve">ustice communautaire, par le biais du renvoi préjudiciel, </w:t>
      </w:r>
      <w:r w:rsidRPr="00695693">
        <w:rPr>
          <w:rFonts w:ascii="Times New Roman" w:hAnsi="Times New Roman" w:cs="Times New Roman"/>
          <w:sz w:val="24"/>
          <w:szCs w:val="24"/>
        </w:rPr>
        <w:t xml:space="preserve">aurait pu être un véritable moyen </w:t>
      </w:r>
      <w:r w:rsidR="00694424" w:rsidRPr="00695693">
        <w:rPr>
          <w:rFonts w:ascii="Times New Roman" w:hAnsi="Times New Roman" w:cs="Times New Roman"/>
          <w:sz w:val="24"/>
          <w:szCs w:val="24"/>
        </w:rPr>
        <w:t>de participer et de contribuer non seulement au respect du droit communautaire ; mais aussi à son efficaci</w:t>
      </w:r>
      <w:r w:rsidRPr="00695693">
        <w:rPr>
          <w:rFonts w:ascii="Times New Roman" w:hAnsi="Times New Roman" w:cs="Times New Roman"/>
          <w:sz w:val="24"/>
          <w:szCs w:val="24"/>
        </w:rPr>
        <w:t>té. Cependant, cette collaboration</w:t>
      </w:r>
      <w:r w:rsidR="00694424" w:rsidRPr="00695693">
        <w:rPr>
          <w:rFonts w:ascii="Times New Roman" w:hAnsi="Times New Roman" w:cs="Times New Roman"/>
          <w:sz w:val="24"/>
          <w:szCs w:val="24"/>
        </w:rPr>
        <w:t xml:space="preserve"> n’est pas toujours effective parce qu’elle est l</w:t>
      </w:r>
      <w:r w:rsidR="007B75E4" w:rsidRPr="00695693">
        <w:rPr>
          <w:rFonts w:ascii="Times New Roman" w:hAnsi="Times New Roman" w:cs="Times New Roman"/>
          <w:sz w:val="24"/>
          <w:szCs w:val="24"/>
        </w:rPr>
        <w:t>imitée par un certain nombre de</w:t>
      </w:r>
      <w:r w:rsidR="00DA620C" w:rsidRPr="00695693">
        <w:rPr>
          <w:rFonts w:ascii="Times New Roman" w:hAnsi="Times New Roman" w:cs="Times New Roman"/>
          <w:sz w:val="24"/>
          <w:szCs w:val="24"/>
        </w:rPr>
        <w:t xml:space="preserve">sentraves </w:t>
      </w:r>
      <w:r w:rsidR="00495DF0" w:rsidRPr="00695693">
        <w:rPr>
          <w:rFonts w:ascii="Times New Roman" w:hAnsi="Times New Roman" w:cs="Times New Roman"/>
          <w:sz w:val="24"/>
          <w:szCs w:val="24"/>
        </w:rPr>
        <w:t>procédurales,</w:t>
      </w:r>
      <w:r w:rsidR="00694424" w:rsidRPr="00695693">
        <w:rPr>
          <w:rFonts w:ascii="Times New Roman" w:hAnsi="Times New Roman" w:cs="Times New Roman"/>
          <w:sz w:val="24"/>
          <w:szCs w:val="24"/>
        </w:rPr>
        <w:t xml:space="preserve"> liées à la juridiction nationale </w:t>
      </w:r>
      <w:r w:rsidR="00694424" w:rsidRPr="00A375DF">
        <w:rPr>
          <w:rFonts w:ascii="Times New Roman" w:hAnsi="Times New Roman" w:cs="Times New Roman"/>
          <w:b/>
          <w:sz w:val="24"/>
          <w:szCs w:val="24"/>
        </w:rPr>
        <w:t>(</w:t>
      </w:r>
      <w:r w:rsidR="00694424" w:rsidRPr="00695693">
        <w:rPr>
          <w:rFonts w:ascii="Times New Roman" w:hAnsi="Times New Roman" w:cs="Times New Roman"/>
          <w:b/>
          <w:sz w:val="24"/>
          <w:szCs w:val="24"/>
        </w:rPr>
        <w:t>Section</w:t>
      </w:r>
      <w:r w:rsidR="00BC4F8D" w:rsidRPr="00695693">
        <w:rPr>
          <w:rFonts w:ascii="Times New Roman" w:hAnsi="Times New Roman" w:cs="Times New Roman"/>
          <w:b/>
          <w:sz w:val="24"/>
          <w:szCs w:val="24"/>
        </w:rPr>
        <w:t xml:space="preserve"> I</w:t>
      </w:r>
      <w:r w:rsidR="00694424" w:rsidRPr="00A375DF">
        <w:rPr>
          <w:rFonts w:ascii="Times New Roman" w:hAnsi="Times New Roman" w:cs="Times New Roman"/>
          <w:b/>
          <w:sz w:val="24"/>
          <w:szCs w:val="24"/>
        </w:rPr>
        <w:t>)</w:t>
      </w:r>
      <w:r w:rsidR="00694424" w:rsidRPr="00695693">
        <w:rPr>
          <w:rFonts w:ascii="Times New Roman" w:hAnsi="Times New Roman" w:cs="Times New Roman"/>
          <w:sz w:val="24"/>
          <w:szCs w:val="24"/>
        </w:rPr>
        <w:t xml:space="preserve"> et à la juridiction communautaire </w:t>
      </w:r>
      <w:r w:rsidR="00694424" w:rsidRPr="00A375DF">
        <w:rPr>
          <w:rFonts w:ascii="Times New Roman" w:hAnsi="Times New Roman" w:cs="Times New Roman"/>
          <w:b/>
          <w:sz w:val="24"/>
          <w:szCs w:val="24"/>
        </w:rPr>
        <w:t xml:space="preserve">(Section </w:t>
      </w:r>
      <w:r w:rsidR="00BC4F8D" w:rsidRPr="00A375DF">
        <w:rPr>
          <w:rFonts w:ascii="Times New Roman" w:hAnsi="Times New Roman" w:cs="Times New Roman"/>
          <w:b/>
          <w:sz w:val="24"/>
          <w:szCs w:val="24"/>
        </w:rPr>
        <w:t>II</w:t>
      </w:r>
      <w:r w:rsidR="00694424" w:rsidRPr="00A375DF">
        <w:rPr>
          <w:rFonts w:ascii="Times New Roman" w:hAnsi="Times New Roman" w:cs="Times New Roman"/>
          <w:b/>
          <w:sz w:val="24"/>
          <w:szCs w:val="24"/>
        </w:rPr>
        <w:t>)</w:t>
      </w:r>
      <w:r w:rsidR="00694424" w:rsidRPr="00695693">
        <w:rPr>
          <w:rFonts w:ascii="Times New Roman" w:hAnsi="Times New Roman" w:cs="Times New Roman"/>
          <w:sz w:val="24"/>
          <w:szCs w:val="24"/>
        </w:rPr>
        <w:t>.</w:t>
      </w:r>
    </w:p>
    <w:p w:rsidR="00694424" w:rsidRPr="00695693" w:rsidRDefault="00694424" w:rsidP="007A4443">
      <w:pPr>
        <w:pStyle w:val="Titre3"/>
      </w:pPr>
      <w:bookmarkStart w:id="68" w:name="_Toc515108232"/>
      <w:bookmarkStart w:id="69" w:name="_Toc518671713"/>
      <w:bookmarkStart w:id="70" w:name="_Toc518672811"/>
      <w:r w:rsidRPr="00695693">
        <w:t xml:space="preserve">SECTION </w:t>
      </w:r>
      <w:r w:rsidR="00BC4F8D" w:rsidRPr="00695693">
        <w:t>I</w:t>
      </w:r>
      <w:r w:rsidRPr="00695693">
        <w:t> : LES ENTRAVES LIEES A LA JURIDICTION NATIONALE</w:t>
      </w:r>
      <w:bookmarkEnd w:id="68"/>
      <w:bookmarkEnd w:id="69"/>
      <w:bookmarkEnd w:id="70"/>
    </w:p>
    <w:p w:rsidR="00694424" w:rsidRPr="00695693" w:rsidRDefault="002B4804" w:rsidP="006956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Ces entraves </w:t>
      </w:r>
      <w:r w:rsidR="000E6C0C">
        <w:rPr>
          <w:rFonts w:ascii="Times New Roman" w:hAnsi="Times New Roman" w:cs="Times New Roman"/>
          <w:sz w:val="24"/>
          <w:szCs w:val="24"/>
        </w:rPr>
        <w:t xml:space="preserve">peuvent être qualifiées comme les </w:t>
      </w:r>
      <w:r>
        <w:rPr>
          <w:rFonts w:ascii="Times New Roman" w:hAnsi="Times New Roman" w:cs="Times New Roman"/>
          <w:sz w:val="24"/>
          <w:szCs w:val="24"/>
        </w:rPr>
        <w:t xml:space="preserve">différents </w:t>
      </w:r>
      <w:r w:rsidR="00694424" w:rsidRPr="00695693">
        <w:rPr>
          <w:rFonts w:ascii="Times New Roman" w:hAnsi="Times New Roman" w:cs="Times New Roman"/>
          <w:sz w:val="24"/>
          <w:szCs w:val="24"/>
        </w:rPr>
        <w:t xml:space="preserve">obstacles procéduraux qui empêchent le </w:t>
      </w:r>
      <w:r w:rsidR="00832760" w:rsidRPr="00695693">
        <w:rPr>
          <w:rFonts w:ascii="Times New Roman" w:hAnsi="Times New Roman" w:cs="Times New Roman"/>
          <w:sz w:val="24"/>
          <w:szCs w:val="24"/>
        </w:rPr>
        <w:t xml:space="preserve">juge national de </w:t>
      </w:r>
      <w:r w:rsidR="00694424" w:rsidRPr="00695693">
        <w:rPr>
          <w:rFonts w:ascii="Times New Roman" w:hAnsi="Times New Roman" w:cs="Times New Roman"/>
          <w:sz w:val="24"/>
          <w:szCs w:val="24"/>
        </w:rPr>
        <w:t>recour</w:t>
      </w:r>
      <w:r w:rsidR="00832760" w:rsidRPr="00695693">
        <w:rPr>
          <w:rFonts w:ascii="Times New Roman" w:hAnsi="Times New Roman" w:cs="Times New Roman"/>
          <w:sz w:val="24"/>
          <w:szCs w:val="24"/>
        </w:rPr>
        <w:t>ir</w:t>
      </w:r>
      <w:r>
        <w:rPr>
          <w:rFonts w:ascii="Times New Roman" w:hAnsi="Times New Roman" w:cs="Times New Roman"/>
          <w:sz w:val="24"/>
          <w:szCs w:val="24"/>
        </w:rPr>
        <w:t xml:space="preserve"> au mécanisme du</w:t>
      </w:r>
      <w:r w:rsidR="00694424" w:rsidRPr="00695693">
        <w:rPr>
          <w:rFonts w:ascii="Times New Roman" w:hAnsi="Times New Roman" w:cs="Times New Roman"/>
          <w:sz w:val="24"/>
          <w:szCs w:val="24"/>
        </w:rPr>
        <w:t xml:space="preserve"> renvoi préjudiciel. Ces obstacles </w:t>
      </w:r>
      <w:r w:rsidR="00D001D5" w:rsidRPr="00695693">
        <w:rPr>
          <w:rFonts w:ascii="Times New Roman" w:hAnsi="Times New Roman" w:cs="Times New Roman"/>
          <w:sz w:val="24"/>
          <w:szCs w:val="24"/>
        </w:rPr>
        <w:t>se résument pour l’essentiel aux pouvoirs souverains reconnus</w:t>
      </w:r>
      <w:r w:rsidR="000D6C18" w:rsidRPr="00695693">
        <w:rPr>
          <w:rFonts w:ascii="Times New Roman" w:hAnsi="Times New Roman" w:cs="Times New Roman"/>
          <w:sz w:val="24"/>
          <w:szCs w:val="24"/>
        </w:rPr>
        <w:t xml:space="preserve"> aux instances nationales</w:t>
      </w:r>
      <w:r w:rsidR="00694424" w:rsidRPr="00695693">
        <w:rPr>
          <w:rFonts w:ascii="Times New Roman" w:hAnsi="Times New Roman" w:cs="Times New Roman"/>
          <w:sz w:val="24"/>
          <w:szCs w:val="24"/>
        </w:rPr>
        <w:t xml:space="preserve"> de renvoi dans la mise en œu</w:t>
      </w:r>
      <w:r w:rsidR="00D001D5" w:rsidRPr="00695693">
        <w:rPr>
          <w:rFonts w:ascii="Times New Roman" w:hAnsi="Times New Roman" w:cs="Times New Roman"/>
          <w:sz w:val="24"/>
          <w:szCs w:val="24"/>
        </w:rPr>
        <w:t>vre de ce dernier. Ils</w:t>
      </w:r>
      <w:r w:rsidR="00694424" w:rsidRPr="00695693">
        <w:rPr>
          <w:rFonts w:ascii="Times New Roman" w:hAnsi="Times New Roman" w:cs="Times New Roman"/>
          <w:sz w:val="24"/>
          <w:szCs w:val="24"/>
        </w:rPr>
        <w:t xml:space="preserve"> sont nombreux et existent tant en amont de la procédure </w:t>
      </w:r>
      <w:r w:rsidR="00694424" w:rsidRPr="005E5522">
        <w:rPr>
          <w:rFonts w:ascii="Times New Roman" w:hAnsi="Times New Roman" w:cs="Times New Roman"/>
          <w:b/>
          <w:sz w:val="24"/>
          <w:szCs w:val="24"/>
        </w:rPr>
        <w:t>(</w:t>
      </w:r>
      <w:r w:rsidR="00BC4F8D" w:rsidRPr="00695693">
        <w:rPr>
          <w:rFonts w:ascii="Times New Roman" w:hAnsi="Times New Roman" w:cs="Times New Roman"/>
          <w:b/>
          <w:sz w:val="24"/>
          <w:szCs w:val="24"/>
        </w:rPr>
        <w:t>§ 1</w:t>
      </w:r>
      <w:r w:rsidR="00694424" w:rsidRPr="005E5522">
        <w:rPr>
          <w:rFonts w:ascii="Times New Roman" w:hAnsi="Times New Roman" w:cs="Times New Roman"/>
          <w:b/>
          <w:sz w:val="24"/>
          <w:szCs w:val="24"/>
        </w:rPr>
        <w:t>)</w:t>
      </w:r>
      <w:r w:rsidR="00694424" w:rsidRPr="00695693">
        <w:rPr>
          <w:rFonts w:ascii="Times New Roman" w:hAnsi="Times New Roman" w:cs="Times New Roman"/>
          <w:sz w:val="24"/>
          <w:szCs w:val="24"/>
        </w:rPr>
        <w:t xml:space="preserve"> qu’en aval de celle-ci </w:t>
      </w:r>
      <w:r w:rsidR="00694424" w:rsidRPr="005E5522">
        <w:rPr>
          <w:rFonts w:ascii="Times New Roman" w:hAnsi="Times New Roman" w:cs="Times New Roman"/>
          <w:b/>
          <w:sz w:val="24"/>
          <w:szCs w:val="24"/>
        </w:rPr>
        <w:t>(</w:t>
      </w:r>
      <w:r w:rsidR="00BC4F8D" w:rsidRPr="005E5522">
        <w:rPr>
          <w:rFonts w:ascii="Times New Roman" w:hAnsi="Times New Roman" w:cs="Times New Roman"/>
          <w:b/>
          <w:sz w:val="24"/>
          <w:szCs w:val="24"/>
        </w:rPr>
        <w:t>§ 2</w:t>
      </w:r>
      <w:r w:rsidR="00694424" w:rsidRPr="005E5522">
        <w:rPr>
          <w:rFonts w:ascii="Times New Roman" w:hAnsi="Times New Roman" w:cs="Times New Roman"/>
          <w:b/>
          <w:sz w:val="24"/>
          <w:szCs w:val="24"/>
        </w:rPr>
        <w:t>)</w:t>
      </w:r>
      <w:r w:rsidR="00694424" w:rsidRPr="00695693">
        <w:rPr>
          <w:rFonts w:ascii="Times New Roman" w:hAnsi="Times New Roman" w:cs="Times New Roman"/>
          <w:sz w:val="24"/>
          <w:szCs w:val="24"/>
        </w:rPr>
        <w:t>.</w:t>
      </w:r>
    </w:p>
    <w:p w:rsidR="00694424" w:rsidRPr="00362E82" w:rsidRDefault="00BC4F8D" w:rsidP="002F7CA3">
      <w:pPr>
        <w:pStyle w:val="Titre4"/>
      </w:pPr>
      <w:bookmarkStart w:id="71" w:name="_Toc518672812"/>
      <w:r w:rsidRPr="00362E82">
        <w:t>§ 1</w:t>
      </w:r>
      <w:r w:rsidR="00694424" w:rsidRPr="00362E82">
        <w:t> : Les difficultés procédurales en amont</w:t>
      </w:r>
      <w:bookmarkEnd w:id="71"/>
    </w:p>
    <w:p w:rsidR="00694424" w:rsidRPr="00695693" w:rsidRDefault="007F5FF4" w:rsidP="006956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Elles </w:t>
      </w:r>
      <w:r w:rsidR="00694424" w:rsidRPr="00695693">
        <w:rPr>
          <w:rFonts w:ascii="Times New Roman" w:hAnsi="Times New Roman" w:cs="Times New Roman"/>
          <w:sz w:val="24"/>
          <w:szCs w:val="24"/>
        </w:rPr>
        <w:t>se situent lors du déclenchement de la procédure préjudicielle</w:t>
      </w:r>
      <w:r>
        <w:rPr>
          <w:rFonts w:ascii="Times New Roman" w:hAnsi="Times New Roman" w:cs="Times New Roman"/>
          <w:sz w:val="24"/>
          <w:szCs w:val="24"/>
        </w:rPr>
        <w:t xml:space="preserve"> par le juge national</w:t>
      </w:r>
      <w:r w:rsidR="00694424" w:rsidRPr="00695693">
        <w:rPr>
          <w:rFonts w:ascii="Times New Roman" w:hAnsi="Times New Roman" w:cs="Times New Roman"/>
          <w:sz w:val="24"/>
          <w:szCs w:val="24"/>
        </w:rPr>
        <w:t xml:space="preserve">. </w:t>
      </w:r>
      <w:r w:rsidR="008422F7">
        <w:rPr>
          <w:rFonts w:ascii="Times New Roman" w:hAnsi="Times New Roman" w:cs="Times New Roman"/>
          <w:sz w:val="24"/>
          <w:szCs w:val="24"/>
        </w:rPr>
        <w:t xml:space="preserve">Empêchant la juridiction nationale de saisir la Cour de justice d’une question préjudicielle, ces difficultés ont trait </w:t>
      </w:r>
      <w:r w:rsidR="004A0CB5">
        <w:rPr>
          <w:rFonts w:ascii="Times New Roman" w:hAnsi="Times New Roman" w:cs="Times New Roman"/>
          <w:sz w:val="24"/>
          <w:szCs w:val="24"/>
        </w:rPr>
        <w:t xml:space="preserve">soit </w:t>
      </w:r>
      <w:r w:rsidR="008422F7">
        <w:rPr>
          <w:rFonts w:ascii="Times New Roman" w:hAnsi="Times New Roman" w:cs="Times New Roman"/>
          <w:sz w:val="24"/>
          <w:szCs w:val="24"/>
        </w:rPr>
        <w:t xml:space="preserve">au </w:t>
      </w:r>
      <w:r w:rsidR="00694424" w:rsidRPr="00695693">
        <w:rPr>
          <w:rFonts w:ascii="Times New Roman" w:hAnsi="Times New Roman" w:cs="Times New Roman"/>
          <w:sz w:val="24"/>
          <w:szCs w:val="24"/>
        </w:rPr>
        <w:t xml:space="preserve">recours à l’utilisation de la théorie de l’acte clair </w:t>
      </w:r>
      <w:r w:rsidR="00694424" w:rsidRPr="00C55CD6">
        <w:rPr>
          <w:rFonts w:ascii="Times New Roman" w:hAnsi="Times New Roman" w:cs="Times New Roman"/>
          <w:b/>
          <w:sz w:val="24"/>
          <w:szCs w:val="24"/>
        </w:rPr>
        <w:t>(A)</w:t>
      </w:r>
      <w:r w:rsidR="008422F7">
        <w:rPr>
          <w:rFonts w:ascii="Times New Roman" w:hAnsi="Times New Roman" w:cs="Times New Roman"/>
          <w:sz w:val="24"/>
          <w:szCs w:val="24"/>
        </w:rPr>
        <w:t xml:space="preserve">, </w:t>
      </w:r>
      <w:r w:rsidR="004A0CB5">
        <w:rPr>
          <w:rFonts w:ascii="Times New Roman" w:hAnsi="Times New Roman" w:cs="Times New Roman"/>
          <w:sz w:val="24"/>
          <w:szCs w:val="24"/>
        </w:rPr>
        <w:t xml:space="preserve">soit </w:t>
      </w:r>
      <w:r w:rsidR="005E063F">
        <w:rPr>
          <w:rFonts w:ascii="Times New Roman" w:hAnsi="Times New Roman" w:cs="Times New Roman"/>
          <w:sz w:val="24"/>
          <w:szCs w:val="24"/>
        </w:rPr>
        <w:t xml:space="preserve">au recours </w:t>
      </w:r>
      <w:r w:rsidR="00694424" w:rsidRPr="00695693">
        <w:rPr>
          <w:rFonts w:ascii="Times New Roman" w:hAnsi="Times New Roman" w:cs="Times New Roman"/>
          <w:sz w:val="24"/>
          <w:szCs w:val="24"/>
        </w:rPr>
        <w:t>à l’utilisation de la règ</w:t>
      </w:r>
      <w:r w:rsidR="008422F7">
        <w:rPr>
          <w:rFonts w:ascii="Times New Roman" w:hAnsi="Times New Roman" w:cs="Times New Roman"/>
          <w:sz w:val="24"/>
          <w:szCs w:val="24"/>
        </w:rPr>
        <w:t>le du précédent jurisprudentiel</w:t>
      </w:r>
      <w:r w:rsidR="00694424" w:rsidRPr="00C55CD6">
        <w:rPr>
          <w:rFonts w:ascii="Times New Roman" w:hAnsi="Times New Roman" w:cs="Times New Roman"/>
          <w:b/>
          <w:sz w:val="24"/>
          <w:szCs w:val="24"/>
        </w:rPr>
        <w:t>(B)</w:t>
      </w:r>
      <w:r w:rsidR="00694424" w:rsidRPr="00695693">
        <w:rPr>
          <w:rFonts w:ascii="Times New Roman" w:hAnsi="Times New Roman" w:cs="Times New Roman"/>
          <w:sz w:val="24"/>
          <w:szCs w:val="24"/>
        </w:rPr>
        <w:t>.</w:t>
      </w:r>
    </w:p>
    <w:p w:rsidR="00764BC6" w:rsidRPr="00362E82" w:rsidRDefault="000003F4" w:rsidP="0037430F">
      <w:pPr>
        <w:pStyle w:val="Titre5"/>
      </w:pPr>
      <w:bookmarkStart w:id="72" w:name="_Toc518672813"/>
      <w:r w:rsidRPr="00362E82">
        <w:t xml:space="preserve">A. </w:t>
      </w:r>
      <w:r w:rsidR="00694424" w:rsidRPr="00362E82">
        <w:t xml:space="preserve"> L’utilisation de la théorie de l’acte clair</w:t>
      </w:r>
      <w:bookmarkEnd w:id="72"/>
    </w:p>
    <w:p w:rsidR="00312B6D" w:rsidRDefault="00764BC6"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L’obligation faite aux juridictions nationales supérieures</w:t>
      </w:r>
      <w:r w:rsidR="00786D81" w:rsidRPr="00695693">
        <w:rPr>
          <w:rStyle w:val="Appelnotedebasdep"/>
          <w:rFonts w:ascii="Times New Roman" w:hAnsi="Times New Roman" w:cs="Times New Roman"/>
          <w:sz w:val="24"/>
          <w:szCs w:val="24"/>
        </w:rPr>
        <w:footnoteReference w:id="238"/>
      </w:r>
      <w:r w:rsidR="00A5787D" w:rsidRPr="00695693">
        <w:rPr>
          <w:rFonts w:ascii="Times New Roman" w:hAnsi="Times New Roman" w:cs="Times New Roman"/>
          <w:sz w:val="24"/>
          <w:szCs w:val="24"/>
        </w:rPr>
        <w:t>de saisir la Cour de j</w:t>
      </w:r>
      <w:r w:rsidRPr="00695693">
        <w:rPr>
          <w:rFonts w:ascii="Times New Roman" w:hAnsi="Times New Roman" w:cs="Times New Roman"/>
          <w:sz w:val="24"/>
          <w:szCs w:val="24"/>
        </w:rPr>
        <w:t xml:space="preserve">ustice communautaire d’une question préjudicielle disparait dès lors que celles-ci décident de recourir à l’utilisation de la théorie de l’acte clair. </w:t>
      </w:r>
      <w:r w:rsidR="0076529C">
        <w:rPr>
          <w:rFonts w:ascii="Times New Roman" w:hAnsi="Times New Roman" w:cs="Times New Roman"/>
          <w:sz w:val="24"/>
          <w:szCs w:val="24"/>
        </w:rPr>
        <w:t xml:space="preserve">Cette théorie signifie le fait pour une juridiction </w:t>
      </w:r>
      <w:r w:rsidR="00AB4588">
        <w:rPr>
          <w:rFonts w:ascii="Times New Roman" w:hAnsi="Times New Roman" w:cs="Times New Roman"/>
          <w:sz w:val="24"/>
          <w:szCs w:val="24"/>
        </w:rPr>
        <w:t xml:space="preserve">statuant en dernier ressort </w:t>
      </w:r>
      <w:r w:rsidR="0076529C">
        <w:rPr>
          <w:rFonts w:ascii="Times New Roman" w:hAnsi="Times New Roman" w:cs="Times New Roman"/>
          <w:sz w:val="24"/>
          <w:szCs w:val="24"/>
        </w:rPr>
        <w:t>de ne pas pouvoir s’acquit</w:t>
      </w:r>
      <w:r w:rsidR="006C0C78">
        <w:rPr>
          <w:rFonts w:ascii="Times New Roman" w:hAnsi="Times New Roman" w:cs="Times New Roman"/>
          <w:sz w:val="24"/>
          <w:szCs w:val="24"/>
        </w:rPr>
        <w:t>ter de</w:t>
      </w:r>
      <w:r w:rsidR="0076529C">
        <w:rPr>
          <w:rFonts w:ascii="Times New Roman" w:hAnsi="Times New Roman" w:cs="Times New Roman"/>
          <w:sz w:val="24"/>
          <w:szCs w:val="24"/>
        </w:rPr>
        <w:t xml:space="preserve"> son obligation de renvoyer des questions d’interprétation à l’organe judiciaire communautaire</w:t>
      </w:r>
      <w:r w:rsidR="001F1A6D">
        <w:rPr>
          <w:rFonts w:ascii="Times New Roman" w:hAnsi="Times New Roman" w:cs="Times New Roman"/>
          <w:sz w:val="24"/>
          <w:szCs w:val="24"/>
        </w:rPr>
        <w:t>,</w:t>
      </w:r>
      <w:r w:rsidR="0076529C">
        <w:rPr>
          <w:rFonts w:ascii="Times New Roman" w:hAnsi="Times New Roman" w:cs="Times New Roman"/>
          <w:sz w:val="24"/>
          <w:szCs w:val="24"/>
        </w:rPr>
        <w:t xml:space="preserve"> tout en considérant que </w:t>
      </w:r>
      <w:r w:rsidR="0076529C" w:rsidRPr="0076529C">
        <w:rPr>
          <w:rFonts w:ascii="Times New Roman" w:hAnsi="Times New Roman" w:cs="Times New Roman"/>
          <w:sz w:val="24"/>
          <w:szCs w:val="24"/>
        </w:rPr>
        <w:t>le sens et la portée de la disposition querellée, selon sa lettre et son esprit, sont dénués de toute équivoq</w:t>
      </w:r>
      <w:r w:rsidR="0076529C">
        <w:rPr>
          <w:rFonts w:ascii="Times New Roman" w:hAnsi="Times New Roman" w:cs="Times New Roman"/>
          <w:sz w:val="24"/>
          <w:szCs w:val="24"/>
        </w:rPr>
        <w:t>ue</w:t>
      </w:r>
      <w:r w:rsidR="0076529C">
        <w:rPr>
          <w:rStyle w:val="Appelnotedebasdep"/>
          <w:rFonts w:ascii="Times New Roman" w:hAnsi="Times New Roman" w:cs="Times New Roman"/>
          <w:sz w:val="24"/>
          <w:szCs w:val="24"/>
        </w:rPr>
        <w:footnoteReference w:id="239"/>
      </w:r>
      <w:r w:rsidR="001F1A6D">
        <w:rPr>
          <w:rFonts w:ascii="Times New Roman" w:hAnsi="Times New Roman" w:cs="Times New Roman"/>
          <w:sz w:val="24"/>
          <w:szCs w:val="24"/>
        </w:rPr>
        <w:t xml:space="preserve">. </w:t>
      </w:r>
      <w:r w:rsidRPr="00695693">
        <w:rPr>
          <w:rFonts w:ascii="Times New Roman" w:hAnsi="Times New Roman" w:cs="Times New Roman"/>
          <w:sz w:val="24"/>
          <w:szCs w:val="24"/>
        </w:rPr>
        <w:t>Ainsi, e</w:t>
      </w:r>
      <w:r w:rsidR="000003F4" w:rsidRPr="00695693">
        <w:rPr>
          <w:rFonts w:ascii="Times New Roman" w:hAnsi="Times New Roman" w:cs="Times New Roman"/>
          <w:sz w:val="24"/>
          <w:szCs w:val="24"/>
        </w:rPr>
        <w:t>n France, c’</w:t>
      </w:r>
      <w:r w:rsidR="00694424" w:rsidRPr="00695693">
        <w:rPr>
          <w:rFonts w:ascii="Times New Roman" w:hAnsi="Times New Roman" w:cs="Times New Roman"/>
          <w:sz w:val="24"/>
          <w:szCs w:val="24"/>
        </w:rPr>
        <w:t xml:space="preserve">est avec l’arrêt </w:t>
      </w:r>
      <w:r w:rsidR="00694424" w:rsidRPr="00695693">
        <w:rPr>
          <w:rFonts w:ascii="Times New Roman" w:hAnsi="Times New Roman" w:cs="Times New Roman"/>
          <w:i/>
          <w:sz w:val="24"/>
          <w:szCs w:val="24"/>
        </w:rPr>
        <w:t>Société desPétroles Shell-Berre et autres</w:t>
      </w:r>
      <w:r w:rsidR="00694424" w:rsidRPr="00695693">
        <w:rPr>
          <w:rFonts w:ascii="Times New Roman" w:hAnsi="Times New Roman" w:cs="Times New Roman"/>
          <w:sz w:val="24"/>
          <w:szCs w:val="24"/>
        </w:rPr>
        <w:t xml:space="preserve"> prononcé par le</w:t>
      </w:r>
      <w:r w:rsidR="00A5787D" w:rsidRPr="00695693">
        <w:rPr>
          <w:rFonts w:ascii="Times New Roman" w:hAnsi="Times New Roman" w:cs="Times New Roman"/>
          <w:sz w:val="24"/>
          <w:szCs w:val="24"/>
        </w:rPr>
        <w:t xml:space="preserve"> Conseil d’Etat français le 19 j</w:t>
      </w:r>
      <w:r w:rsidR="00694424" w:rsidRPr="00695693">
        <w:rPr>
          <w:rFonts w:ascii="Times New Roman" w:hAnsi="Times New Roman" w:cs="Times New Roman"/>
          <w:sz w:val="24"/>
          <w:szCs w:val="24"/>
        </w:rPr>
        <w:t xml:space="preserve">uin 1964 que commence </w:t>
      </w:r>
      <w:r w:rsidR="00694424" w:rsidRPr="00695693">
        <w:rPr>
          <w:rFonts w:ascii="Times New Roman" w:hAnsi="Times New Roman" w:cs="Times New Roman"/>
          <w:sz w:val="24"/>
          <w:szCs w:val="24"/>
        </w:rPr>
        <w:lastRenderedPageBreak/>
        <w:t>véritablement l’usage de la théorie de l’acte clair dans la sphère communautair</w:t>
      </w:r>
      <w:r w:rsidR="00374C00" w:rsidRPr="00695693">
        <w:rPr>
          <w:rFonts w:ascii="Times New Roman" w:hAnsi="Times New Roman" w:cs="Times New Roman"/>
          <w:sz w:val="24"/>
          <w:szCs w:val="24"/>
        </w:rPr>
        <w:t>e, et particulièrement en cas de</w:t>
      </w:r>
      <w:r w:rsidR="00694424" w:rsidRPr="00695693">
        <w:rPr>
          <w:rFonts w:ascii="Times New Roman" w:hAnsi="Times New Roman" w:cs="Times New Roman"/>
          <w:sz w:val="24"/>
          <w:szCs w:val="24"/>
        </w:rPr>
        <w:t xml:space="preserve"> recours préjudiciel. A cette occasion et pour la première fois, la Haute Juridiction administrative française utilise la théorie de l’acte clair pour refuser de</w:t>
      </w:r>
      <w:r w:rsidR="00C55518" w:rsidRPr="00695693">
        <w:rPr>
          <w:rFonts w:ascii="Times New Roman" w:hAnsi="Times New Roman" w:cs="Times New Roman"/>
          <w:sz w:val="24"/>
          <w:szCs w:val="24"/>
        </w:rPr>
        <w:t xml:space="preserve"> « </w:t>
      </w:r>
      <w:r w:rsidR="00C55518" w:rsidRPr="00695693">
        <w:rPr>
          <w:rFonts w:ascii="Times New Roman" w:hAnsi="Times New Roman" w:cs="Times New Roman"/>
          <w:i/>
          <w:sz w:val="24"/>
          <w:szCs w:val="24"/>
        </w:rPr>
        <w:t>renvoyer de question d’interprétation à la Cour de Justice, en considérant que la norme applicable présente suffisamment de sens pour ne pas devoir être éclairée par la juridiction compétente</w:t>
      </w:r>
      <w:r w:rsidR="00C55518" w:rsidRPr="00695693">
        <w:rPr>
          <w:rFonts w:ascii="Times New Roman" w:hAnsi="Times New Roman" w:cs="Times New Roman"/>
          <w:sz w:val="24"/>
          <w:szCs w:val="24"/>
        </w:rPr>
        <w:t xml:space="preserve"> »</w:t>
      </w:r>
      <w:r w:rsidR="00694424" w:rsidRPr="00695693">
        <w:rPr>
          <w:rStyle w:val="Appelnotedebasdep"/>
          <w:rFonts w:ascii="Times New Roman" w:hAnsi="Times New Roman" w:cs="Times New Roman"/>
          <w:sz w:val="24"/>
          <w:szCs w:val="24"/>
        </w:rPr>
        <w:footnoteReference w:id="240"/>
      </w:r>
      <w:r w:rsidR="00694424" w:rsidRPr="00695693">
        <w:rPr>
          <w:rFonts w:ascii="Times New Roman" w:hAnsi="Times New Roman" w:cs="Times New Roman"/>
          <w:sz w:val="24"/>
          <w:szCs w:val="24"/>
        </w:rPr>
        <w:t>.</w:t>
      </w:r>
    </w:p>
    <w:p w:rsidR="00817425"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L’appropriation de cette doctrine en droit communautaire, et particulièrement</w:t>
      </w:r>
      <w:r w:rsidR="0067631C" w:rsidRPr="00695693">
        <w:rPr>
          <w:rFonts w:ascii="Times New Roman" w:hAnsi="Times New Roman" w:cs="Times New Roman"/>
          <w:sz w:val="24"/>
          <w:szCs w:val="24"/>
        </w:rPr>
        <w:t xml:space="preserve"> en cas d</w:t>
      </w:r>
      <w:r w:rsidR="00374C00" w:rsidRPr="00695693">
        <w:rPr>
          <w:rFonts w:ascii="Times New Roman" w:hAnsi="Times New Roman" w:cs="Times New Roman"/>
          <w:sz w:val="24"/>
          <w:szCs w:val="24"/>
        </w:rPr>
        <w:t>e</w:t>
      </w:r>
      <w:r w:rsidR="0067631C" w:rsidRPr="00695693">
        <w:rPr>
          <w:rFonts w:ascii="Times New Roman" w:hAnsi="Times New Roman" w:cs="Times New Roman"/>
          <w:sz w:val="24"/>
          <w:szCs w:val="24"/>
        </w:rPr>
        <w:t xml:space="preserve"> recours préjudiciel a permis</w:t>
      </w:r>
      <w:r w:rsidR="00A5787D" w:rsidRPr="00695693">
        <w:rPr>
          <w:rFonts w:ascii="Times New Roman" w:hAnsi="Times New Roman" w:cs="Times New Roman"/>
          <w:sz w:val="24"/>
          <w:szCs w:val="24"/>
        </w:rPr>
        <w:t xml:space="preserve"> d’éviter </w:t>
      </w:r>
      <w:r w:rsidR="00DA318D" w:rsidRPr="00695693">
        <w:rPr>
          <w:rFonts w:ascii="Times New Roman" w:hAnsi="Times New Roman" w:cs="Times New Roman"/>
          <w:sz w:val="24"/>
          <w:szCs w:val="24"/>
        </w:rPr>
        <w:t>l’encombrement de prétoire du juge communautaire</w:t>
      </w:r>
      <w:r w:rsidR="00FB2937" w:rsidRPr="00695693">
        <w:rPr>
          <w:rFonts w:ascii="Times New Roman" w:hAnsi="Times New Roman" w:cs="Times New Roman"/>
          <w:sz w:val="24"/>
          <w:szCs w:val="24"/>
        </w:rPr>
        <w:t xml:space="preserve"> ou encore, pour reprendre l’expression du Professeur Denys SIMON, </w:t>
      </w:r>
      <w:r w:rsidR="00A5787D" w:rsidRPr="00695693">
        <w:rPr>
          <w:rFonts w:ascii="Times New Roman" w:hAnsi="Times New Roman" w:cs="Times New Roman"/>
          <w:sz w:val="24"/>
          <w:szCs w:val="24"/>
        </w:rPr>
        <w:t>de surcharger la Cour face à la « </w:t>
      </w:r>
      <w:r w:rsidR="00A5787D" w:rsidRPr="00695693">
        <w:rPr>
          <w:rFonts w:ascii="Times New Roman" w:hAnsi="Times New Roman" w:cs="Times New Roman"/>
          <w:i/>
          <w:sz w:val="24"/>
          <w:szCs w:val="24"/>
        </w:rPr>
        <w:t>prolifération des question</w:t>
      </w:r>
      <w:r w:rsidR="009778FF" w:rsidRPr="00695693">
        <w:rPr>
          <w:rFonts w:ascii="Times New Roman" w:hAnsi="Times New Roman" w:cs="Times New Roman"/>
          <w:i/>
          <w:sz w:val="24"/>
          <w:szCs w:val="24"/>
        </w:rPr>
        <w:t>s préjudicielles maladroites ou superflues, qui alourdissent l’emploi du temps des juges de la Cour</w:t>
      </w:r>
      <w:r w:rsidR="009778FF" w:rsidRPr="00695693">
        <w:rPr>
          <w:rFonts w:ascii="Times New Roman" w:hAnsi="Times New Roman" w:cs="Times New Roman"/>
          <w:sz w:val="24"/>
          <w:szCs w:val="24"/>
        </w:rPr>
        <w:t> »</w:t>
      </w:r>
      <w:r w:rsidR="009778FF" w:rsidRPr="00695693">
        <w:rPr>
          <w:rStyle w:val="Appelnotedebasdep"/>
          <w:rFonts w:ascii="Times New Roman" w:hAnsi="Times New Roman" w:cs="Times New Roman"/>
          <w:sz w:val="24"/>
          <w:szCs w:val="24"/>
        </w:rPr>
        <w:footnoteReference w:id="241"/>
      </w:r>
      <w:r w:rsidR="00A91CA3" w:rsidRPr="00695693">
        <w:rPr>
          <w:rFonts w:ascii="Times New Roman" w:hAnsi="Times New Roman" w:cs="Times New Roman"/>
          <w:sz w:val="24"/>
          <w:szCs w:val="24"/>
        </w:rPr>
        <w:t xml:space="preserve">. </w:t>
      </w:r>
      <w:r w:rsidR="0067631C" w:rsidRPr="00695693">
        <w:rPr>
          <w:rFonts w:ascii="Times New Roman" w:hAnsi="Times New Roman" w:cs="Times New Roman"/>
          <w:sz w:val="24"/>
          <w:szCs w:val="24"/>
        </w:rPr>
        <w:t>Toutefois,</w:t>
      </w:r>
      <w:r w:rsidRPr="00695693">
        <w:rPr>
          <w:rFonts w:ascii="Times New Roman" w:hAnsi="Times New Roman" w:cs="Times New Roman"/>
          <w:sz w:val="24"/>
          <w:szCs w:val="24"/>
        </w:rPr>
        <w:t xml:space="preserve"> il ne serait pas exclu qu</w:t>
      </w:r>
      <w:r w:rsidR="0067631C" w:rsidRPr="00695693">
        <w:rPr>
          <w:rFonts w:ascii="Times New Roman" w:hAnsi="Times New Roman" w:cs="Times New Roman"/>
          <w:sz w:val="24"/>
          <w:szCs w:val="24"/>
        </w:rPr>
        <w:t>e cette théorie</w:t>
      </w:r>
      <w:r w:rsidR="00374C00" w:rsidRPr="00695693">
        <w:rPr>
          <w:rFonts w:ascii="Times New Roman" w:hAnsi="Times New Roman" w:cs="Times New Roman"/>
          <w:sz w:val="24"/>
          <w:szCs w:val="24"/>
        </w:rPr>
        <w:t xml:space="preserve">recèle </w:t>
      </w:r>
      <w:r w:rsidR="009F5EEF" w:rsidRPr="00695693">
        <w:rPr>
          <w:rFonts w:ascii="Times New Roman" w:hAnsi="Times New Roman" w:cs="Times New Roman"/>
          <w:sz w:val="24"/>
          <w:szCs w:val="24"/>
        </w:rPr>
        <w:t>des inconvénient</w:t>
      </w:r>
      <w:r w:rsidR="00E60DE6">
        <w:rPr>
          <w:rFonts w:ascii="Times New Roman" w:hAnsi="Times New Roman" w:cs="Times New Roman"/>
          <w:sz w:val="24"/>
          <w:szCs w:val="24"/>
        </w:rPr>
        <w:t>s</w:t>
      </w:r>
      <w:r w:rsidR="009F5EEF" w:rsidRPr="00695693">
        <w:rPr>
          <w:rFonts w:ascii="Times New Roman" w:hAnsi="Times New Roman" w:cs="Times New Roman"/>
          <w:sz w:val="24"/>
          <w:szCs w:val="24"/>
        </w:rPr>
        <w:t xml:space="preserve"> étant donné qu’elle</w:t>
      </w:r>
      <w:r w:rsidRPr="00695693">
        <w:rPr>
          <w:rFonts w:ascii="Times New Roman" w:hAnsi="Times New Roman" w:cs="Times New Roman"/>
          <w:sz w:val="24"/>
          <w:szCs w:val="24"/>
        </w:rPr>
        <w:t xml:space="preserve"> porte attei</w:t>
      </w:r>
      <w:r w:rsidR="009F5EEF" w:rsidRPr="00695693">
        <w:rPr>
          <w:rFonts w:ascii="Times New Roman" w:hAnsi="Times New Roman" w:cs="Times New Roman"/>
          <w:sz w:val="24"/>
          <w:szCs w:val="24"/>
        </w:rPr>
        <w:t>nte à l’effectivité du recours  préjudiciel</w:t>
      </w:r>
      <w:r w:rsidR="0033746E">
        <w:rPr>
          <w:rFonts w:ascii="Times New Roman" w:hAnsi="Times New Roman" w:cs="Times New Roman"/>
          <w:sz w:val="24"/>
          <w:szCs w:val="24"/>
        </w:rPr>
        <w:t>pour plusieurs raisons</w:t>
      </w:r>
      <w:r w:rsidR="00EB35E3">
        <w:rPr>
          <w:rFonts w:ascii="Times New Roman" w:hAnsi="Times New Roman" w:cs="Times New Roman"/>
          <w:sz w:val="24"/>
          <w:szCs w:val="24"/>
        </w:rPr>
        <w:t> :</w:t>
      </w:r>
      <w:r w:rsidRPr="00695693">
        <w:rPr>
          <w:rFonts w:ascii="Times New Roman" w:hAnsi="Times New Roman" w:cs="Times New Roman"/>
          <w:sz w:val="24"/>
          <w:szCs w:val="24"/>
        </w:rPr>
        <w:t xml:space="preserve"> la première est tirée de ce que la théorie ne permet pas le développement du recours a</w:t>
      </w:r>
      <w:r w:rsidR="00C34740" w:rsidRPr="00695693">
        <w:rPr>
          <w:rFonts w:ascii="Times New Roman" w:hAnsi="Times New Roman" w:cs="Times New Roman"/>
          <w:sz w:val="24"/>
          <w:szCs w:val="24"/>
        </w:rPr>
        <w:t>u mécanisme de</w:t>
      </w:r>
      <w:r w:rsidRPr="00695693">
        <w:rPr>
          <w:rFonts w:ascii="Times New Roman" w:hAnsi="Times New Roman" w:cs="Times New Roman"/>
          <w:sz w:val="24"/>
          <w:szCs w:val="24"/>
        </w:rPr>
        <w:t xml:space="preserve"> renvoi préjudiciel puis qu’elle délie les juridictions nationales supérieures de leur obligation de renvoi</w:t>
      </w:r>
      <w:r w:rsidRPr="00695693">
        <w:rPr>
          <w:rStyle w:val="Appelnotedebasdep"/>
          <w:rFonts w:ascii="Times New Roman" w:hAnsi="Times New Roman" w:cs="Times New Roman"/>
          <w:sz w:val="24"/>
          <w:szCs w:val="24"/>
        </w:rPr>
        <w:footnoteReference w:id="242"/>
      </w:r>
      <w:r w:rsidRPr="00695693">
        <w:rPr>
          <w:rFonts w:ascii="Times New Roman" w:hAnsi="Times New Roman" w:cs="Times New Roman"/>
          <w:sz w:val="24"/>
          <w:szCs w:val="24"/>
        </w:rPr>
        <w:t xml:space="preserve">. </w:t>
      </w:r>
      <w:r w:rsidR="00E60DE6">
        <w:rPr>
          <w:rFonts w:ascii="Times New Roman" w:hAnsi="Times New Roman" w:cs="Times New Roman"/>
          <w:sz w:val="24"/>
          <w:szCs w:val="24"/>
        </w:rPr>
        <w:t>Celles-ci ne peuvent en principe être contraintes</w:t>
      </w:r>
      <w:r w:rsidR="00FF6D59">
        <w:rPr>
          <w:rFonts w:ascii="Times New Roman" w:hAnsi="Times New Roman" w:cs="Times New Roman"/>
          <w:sz w:val="24"/>
          <w:szCs w:val="24"/>
        </w:rPr>
        <w:t xml:space="preserve"> par les parties litigeantes, </w:t>
      </w:r>
      <w:r w:rsidR="00D33A9C">
        <w:rPr>
          <w:rFonts w:ascii="Times New Roman" w:hAnsi="Times New Roman" w:cs="Times New Roman"/>
          <w:sz w:val="24"/>
          <w:szCs w:val="24"/>
        </w:rPr>
        <w:t>parce qu’elles considèrent,</w:t>
      </w:r>
      <w:r w:rsidR="003230E4">
        <w:rPr>
          <w:rFonts w:ascii="Times New Roman" w:hAnsi="Times New Roman" w:cs="Times New Roman"/>
          <w:sz w:val="24"/>
          <w:szCs w:val="24"/>
        </w:rPr>
        <w:t xml:space="preserve">conformément à l’adage </w:t>
      </w:r>
      <w:r w:rsidR="003230E4" w:rsidRPr="003230E4">
        <w:rPr>
          <w:rFonts w:ascii="Times New Roman" w:hAnsi="Times New Roman" w:cs="Times New Roman"/>
          <w:i/>
          <w:sz w:val="24"/>
          <w:szCs w:val="24"/>
        </w:rPr>
        <w:t>in claris non fit interpretatio</w:t>
      </w:r>
      <w:r w:rsidR="003230E4">
        <w:rPr>
          <w:rStyle w:val="Appelnotedebasdep"/>
          <w:rFonts w:ascii="Times New Roman" w:hAnsi="Times New Roman" w:cs="Times New Roman"/>
          <w:sz w:val="24"/>
          <w:szCs w:val="24"/>
        </w:rPr>
        <w:footnoteReference w:id="243"/>
      </w:r>
      <w:r w:rsidR="00D33A9C">
        <w:rPr>
          <w:rFonts w:ascii="Times New Roman" w:hAnsi="Times New Roman" w:cs="Times New Roman"/>
          <w:i/>
          <w:sz w:val="24"/>
          <w:szCs w:val="24"/>
        </w:rPr>
        <w:t>,</w:t>
      </w:r>
      <w:r w:rsidR="003230E4" w:rsidRPr="003230E4">
        <w:rPr>
          <w:rFonts w:ascii="Times New Roman" w:hAnsi="Times New Roman" w:cs="Times New Roman"/>
          <w:sz w:val="24"/>
          <w:szCs w:val="24"/>
        </w:rPr>
        <w:t xml:space="preserve"> qu’il n’y a pas matière à interprétation, car il n’y a aucun doute raisonnable sur le sens et la portée de la règle communautaire en cause. </w:t>
      </w:r>
      <w:r w:rsidRPr="00695693">
        <w:rPr>
          <w:rFonts w:ascii="Times New Roman" w:hAnsi="Times New Roman" w:cs="Times New Roman"/>
          <w:sz w:val="24"/>
          <w:szCs w:val="24"/>
        </w:rPr>
        <w:t>La deuxième raison tient au fait que la théorie limite la compétence interprétative de l’organe judiciaire communautaire. C’est ce qu’</w:t>
      </w:r>
      <w:r w:rsidR="0006226A" w:rsidRPr="00695693">
        <w:rPr>
          <w:rFonts w:ascii="Times New Roman" w:hAnsi="Times New Roman" w:cs="Times New Roman"/>
          <w:sz w:val="24"/>
          <w:szCs w:val="24"/>
        </w:rPr>
        <w:t xml:space="preserve">a fait justement remarquer M. </w:t>
      </w:r>
      <w:r w:rsidRPr="00695693">
        <w:rPr>
          <w:rFonts w:ascii="Times New Roman" w:hAnsi="Times New Roman" w:cs="Times New Roman"/>
          <w:sz w:val="24"/>
          <w:szCs w:val="24"/>
        </w:rPr>
        <w:t>Naiké LEPOUTRE dans cette formule : « </w:t>
      </w:r>
      <w:r w:rsidRPr="00695693">
        <w:rPr>
          <w:rFonts w:ascii="Times New Roman" w:hAnsi="Times New Roman" w:cs="Times New Roman"/>
          <w:i/>
          <w:sz w:val="24"/>
          <w:szCs w:val="24"/>
        </w:rPr>
        <w:t>cette attitude peut être qualifiée de tendancieuse, dans la mesure où il parait douteux de pouvoir ainsi, au cours d’un même litige, multiplier les recours à la théorie de l’acte clair pour déjouer voire annihiler la compétenc</w:t>
      </w:r>
      <w:r w:rsidR="00A43419" w:rsidRPr="00695693">
        <w:rPr>
          <w:rFonts w:ascii="Times New Roman" w:hAnsi="Times New Roman" w:cs="Times New Roman"/>
          <w:i/>
          <w:sz w:val="24"/>
          <w:szCs w:val="24"/>
        </w:rPr>
        <w:t>e interprétative de la Cour de j</w:t>
      </w:r>
      <w:r w:rsidRPr="00695693">
        <w:rPr>
          <w:rFonts w:ascii="Times New Roman" w:hAnsi="Times New Roman" w:cs="Times New Roman"/>
          <w:i/>
          <w:sz w:val="24"/>
          <w:szCs w:val="24"/>
        </w:rPr>
        <w:t>ustice</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244"/>
      </w:r>
      <w:r w:rsidR="00BC5E95" w:rsidRPr="00695693">
        <w:rPr>
          <w:rFonts w:ascii="Times New Roman" w:hAnsi="Times New Roman" w:cs="Times New Roman"/>
          <w:sz w:val="24"/>
          <w:szCs w:val="24"/>
        </w:rPr>
        <w:t>.</w:t>
      </w:r>
      <w:r w:rsidR="006104B5">
        <w:rPr>
          <w:rFonts w:ascii="Times New Roman" w:hAnsi="Times New Roman" w:cs="Times New Roman"/>
          <w:sz w:val="24"/>
          <w:szCs w:val="24"/>
        </w:rPr>
        <w:t xml:space="preserve"> La troisième raison tient au fait que cette théorie obscurcit le fait judiciaire qui est susceptible de revirement, le juge communautaire pouvant donner un sens autre dans un cas comme dans un autre concernant les mêmes normes. Cette situation est intéressante dans la jurisprudence de la Cour européenne des droits de l’homme (CEDH), notamment dans</w:t>
      </w:r>
      <w:r w:rsidR="00E63C2A">
        <w:rPr>
          <w:rFonts w:ascii="Times New Roman" w:hAnsi="Times New Roman" w:cs="Times New Roman"/>
          <w:sz w:val="24"/>
          <w:szCs w:val="24"/>
        </w:rPr>
        <w:t xml:space="preserve"> les </w:t>
      </w:r>
      <w:r w:rsidR="00E63C2A">
        <w:rPr>
          <w:rFonts w:ascii="Times New Roman" w:hAnsi="Times New Roman" w:cs="Times New Roman"/>
          <w:sz w:val="24"/>
          <w:szCs w:val="24"/>
        </w:rPr>
        <w:lastRenderedPageBreak/>
        <w:t xml:space="preserve">arrêts </w:t>
      </w:r>
      <w:r w:rsidR="00E63C2A" w:rsidRPr="00E63C2A">
        <w:rPr>
          <w:rFonts w:ascii="Times New Roman" w:hAnsi="Times New Roman" w:cs="Times New Roman"/>
          <w:i/>
          <w:sz w:val="24"/>
          <w:szCs w:val="24"/>
        </w:rPr>
        <w:t>Behrami et Saramati c</w:t>
      </w:r>
      <w:r w:rsidR="003B08B3">
        <w:rPr>
          <w:rFonts w:ascii="Times New Roman" w:hAnsi="Times New Roman" w:cs="Times New Roman"/>
          <w:i/>
          <w:sz w:val="24"/>
          <w:szCs w:val="24"/>
        </w:rPr>
        <w:t>.</w:t>
      </w:r>
      <w:r w:rsidR="003B08B3" w:rsidRPr="00E63C2A">
        <w:rPr>
          <w:rFonts w:ascii="Times New Roman" w:hAnsi="Times New Roman" w:cs="Times New Roman"/>
          <w:i/>
          <w:sz w:val="24"/>
          <w:szCs w:val="24"/>
        </w:rPr>
        <w:t>/</w:t>
      </w:r>
      <w:r w:rsidR="00E63C2A" w:rsidRPr="00E63C2A">
        <w:rPr>
          <w:rFonts w:ascii="Times New Roman" w:hAnsi="Times New Roman" w:cs="Times New Roman"/>
          <w:i/>
          <w:sz w:val="24"/>
          <w:szCs w:val="24"/>
        </w:rPr>
        <w:t>France, Allemagne et Norvège</w:t>
      </w:r>
      <w:r w:rsidR="00E63C2A">
        <w:rPr>
          <w:rFonts w:ascii="Times New Roman" w:hAnsi="Times New Roman" w:cs="Times New Roman"/>
          <w:sz w:val="24"/>
          <w:szCs w:val="24"/>
        </w:rPr>
        <w:t xml:space="preserve"> du 02 mai 2007 et l’arrêt </w:t>
      </w:r>
      <w:r w:rsidR="00E63C2A" w:rsidRPr="00E63C2A">
        <w:rPr>
          <w:rFonts w:ascii="Times New Roman" w:hAnsi="Times New Roman" w:cs="Times New Roman"/>
          <w:i/>
          <w:sz w:val="24"/>
          <w:szCs w:val="24"/>
        </w:rPr>
        <w:t>Al-Jedda c./Royaume Uni</w:t>
      </w:r>
      <w:r w:rsidR="00E63C2A">
        <w:rPr>
          <w:rFonts w:ascii="Times New Roman" w:hAnsi="Times New Roman" w:cs="Times New Roman"/>
          <w:sz w:val="24"/>
          <w:szCs w:val="24"/>
        </w:rPr>
        <w:t xml:space="preserve"> du 07 juillet 2011 où la Cour, interprétant la même règle aux mêmes faits, se contredit sinon opère un revirement. La quatrième raison est que, d’un point de vue philosophique, la théorie de l’acte clair n’est pas suspendu</w:t>
      </w:r>
      <w:r w:rsidR="00791081">
        <w:rPr>
          <w:rFonts w:ascii="Times New Roman" w:hAnsi="Times New Roman" w:cs="Times New Roman"/>
          <w:sz w:val="24"/>
          <w:szCs w:val="24"/>
        </w:rPr>
        <w:t>e</w:t>
      </w:r>
      <w:r w:rsidR="00E63C2A">
        <w:rPr>
          <w:rFonts w:ascii="Times New Roman" w:hAnsi="Times New Roman" w:cs="Times New Roman"/>
          <w:sz w:val="24"/>
          <w:szCs w:val="24"/>
        </w:rPr>
        <w:t xml:space="preserve"> mais fondé</w:t>
      </w:r>
      <w:r w:rsidR="00791081">
        <w:rPr>
          <w:rFonts w:ascii="Times New Roman" w:hAnsi="Times New Roman" w:cs="Times New Roman"/>
          <w:sz w:val="24"/>
          <w:szCs w:val="24"/>
        </w:rPr>
        <w:t>e</w:t>
      </w:r>
      <w:r w:rsidR="00085A5B">
        <w:rPr>
          <w:rFonts w:ascii="Times New Roman" w:hAnsi="Times New Roman" w:cs="Times New Roman"/>
          <w:sz w:val="24"/>
          <w:szCs w:val="24"/>
        </w:rPr>
        <w:t xml:space="preserve"> sur la jurisprudence communautaire notamment antérieure, or cette jurisprudence étant variable ou susceptible de varier, elle (théorie de l’acte clair) devrait se plier donc à la dynamique du fait judiciaire.</w:t>
      </w:r>
    </w:p>
    <w:p w:rsidR="00804FB2" w:rsidRDefault="00CE533F"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En droit </w:t>
      </w:r>
      <w:r w:rsidR="00CE61FB">
        <w:rPr>
          <w:rFonts w:ascii="Times New Roman" w:hAnsi="Times New Roman" w:cs="Times New Roman"/>
          <w:sz w:val="24"/>
          <w:szCs w:val="24"/>
        </w:rPr>
        <w:t xml:space="preserve">communautaire </w:t>
      </w:r>
      <w:r w:rsidRPr="00695693">
        <w:rPr>
          <w:rFonts w:ascii="Times New Roman" w:hAnsi="Times New Roman" w:cs="Times New Roman"/>
          <w:sz w:val="24"/>
          <w:szCs w:val="24"/>
        </w:rPr>
        <w:t xml:space="preserve">CEDEAO, </w:t>
      </w:r>
      <w:r w:rsidR="00AF6F2A" w:rsidRPr="00695693">
        <w:rPr>
          <w:rFonts w:ascii="Times New Roman" w:hAnsi="Times New Roman" w:cs="Times New Roman"/>
          <w:sz w:val="24"/>
          <w:szCs w:val="24"/>
        </w:rPr>
        <w:t>on peut se demander si cette doctrine n’était pas à l’origine de l’absence de tout recours préjudiciel.</w:t>
      </w:r>
      <w:r w:rsidR="001D7B3F" w:rsidRPr="00695693">
        <w:rPr>
          <w:rFonts w:ascii="Times New Roman" w:hAnsi="Times New Roman" w:cs="Times New Roman"/>
          <w:sz w:val="24"/>
          <w:szCs w:val="24"/>
        </w:rPr>
        <w:t xml:space="preserve"> En ce sens, le juge national se gardera toujours la possibilité de déclarer l’acte clair toutes les fois que les parties en litige soulèvent la question.</w:t>
      </w:r>
      <w:r w:rsidR="00DE11F7" w:rsidRPr="00695693">
        <w:rPr>
          <w:rFonts w:ascii="Times New Roman" w:hAnsi="Times New Roman" w:cs="Times New Roman"/>
          <w:sz w:val="24"/>
          <w:szCs w:val="24"/>
        </w:rPr>
        <w:t>Cependant, pour éviter l’usage abusif de cette théorie, la CJCE a souligné que le juge nat</w:t>
      </w:r>
      <w:r w:rsidR="00694424" w:rsidRPr="00695693">
        <w:rPr>
          <w:rFonts w:ascii="Times New Roman" w:hAnsi="Times New Roman" w:cs="Times New Roman"/>
          <w:sz w:val="24"/>
          <w:szCs w:val="24"/>
        </w:rPr>
        <w:t xml:space="preserve">ional </w:t>
      </w:r>
      <w:r w:rsidR="00DE11F7" w:rsidRPr="00695693">
        <w:rPr>
          <w:rFonts w:ascii="Times New Roman" w:hAnsi="Times New Roman" w:cs="Times New Roman"/>
          <w:sz w:val="24"/>
          <w:szCs w:val="24"/>
        </w:rPr>
        <w:t xml:space="preserve">ne peut y recourir à l’usage </w:t>
      </w:r>
      <w:r w:rsidR="00694424" w:rsidRPr="00695693">
        <w:rPr>
          <w:rFonts w:ascii="Times New Roman" w:hAnsi="Times New Roman" w:cs="Times New Roman"/>
          <w:sz w:val="24"/>
          <w:szCs w:val="24"/>
        </w:rPr>
        <w:t>qu’à la réunion des certaines conditions. Dans son arrêt</w:t>
      </w:r>
      <w:r w:rsidR="00533F14" w:rsidRPr="00533F14">
        <w:rPr>
          <w:rFonts w:ascii="Times New Roman" w:hAnsi="Times New Roman" w:cs="Times New Roman"/>
          <w:i/>
          <w:sz w:val="24"/>
          <w:szCs w:val="24"/>
        </w:rPr>
        <w:t>Cilfit</w:t>
      </w:r>
      <w:r w:rsidR="00533F14">
        <w:rPr>
          <w:rFonts w:ascii="Times New Roman" w:hAnsi="Times New Roman" w:cs="Times New Roman"/>
          <w:sz w:val="24"/>
          <w:szCs w:val="24"/>
        </w:rPr>
        <w:t xml:space="preserve">du </w:t>
      </w:r>
      <w:r w:rsidR="00475614" w:rsidRPr="00695693">
        <w:rPr>
          <w:rFonts w:ascii="Times New Roman" w:hAnsi="Times New Roman" w:cs="Times New Roman"/>
          <w:sz w:val="24"/>
          <w:szCs w:val="24"/>
        </w:rPr>
        <w:t>6 octobre 1982, la C</w:t>
      </w:r>
      <w:r w:rsidR="00FC7CE5">
        <w:rPr>
          <w:rFonts w:ascii="Times New Roman" w:hAnsi="Times New Roman" w:cs="Times New Roman"/>
          <w:sz w:val="24"/>
          <w:szCs w:val="24"/>
        </w:rPr>
        <w:t xml:space="preserve">JCE </w:t>
      </w:r>
      <w:r w:rsidR="00694424" w:rsidRPr="00695693">
        <w:rPr>
          <w:rFonts w:ascii="Times New Roman" w:hAnsi="Times New Roman" w:cs="Times New Roman"/>
          <w:sz w:val="24"/>
          <w:szCs w:val="24"/>
        </w:rPr>
        <w:t>a péremptoirement affirmé que : « </w:t>
      </w:r>
      <w:r w:rsidR="00694424" w:rsidRPr="00695693">
        <w:rPr>
          <w:rFonts w:ascii="Times New Roman" w:hAnsi="Times New Roman" w:cs="Times New Roman"/>
          <w:i/>
          <w:sz w:val="24"/>
          <w:szCs w:val="24"/>
        </w:rPr>
        <w:t>l’application correcte du droit communautaire peut s’imposer avec une évidence telle qu’elle ne laisse place à aucun doute raisonnable sur la manière de résoudre la question posée</w:t>
      </w:r>
      <w:r w:rsidR="00694424" w:rsidRPr="00695693">
        <w:rPr>
          <w:rFonts w:ascii="Times New Roman" w:hAnsi="Times New Roman" w:cs="Times New Roman"/>
          <w:sz w:val="24"/>
          <w:szCs w:val="24"/>
        </w:rPr>
        <w:t> »</w:t>
      </w:r>
      <w:r w:rsidR="00694424" w:rsidRPr="00695693">
        <w:rPr>
          <w:rStyle w:val="Appelnotedebasdep"/>
          <w:rFonts w:ascii="Times New Roman" w:hAnsi="Times New Roman" w:cs="Times New Roman"/>
          <w:sz w:val="24"/>
          <w:szCs w:val="24"/>
        </w:rPr>
        <w:footnoteReference w:id="245"/>
      </w:r>
      <w:r w:rsidR="00694424" w:rsidRPr="00695693">
        <w:rPr>
          <w:rFonts w:ascii="Times New Roman" w:hAnsi="Times New Roman" w:cs="Times New Roman"/>
          <w:sz w:val="24"/>
          <w:szCs w:val="24"/>
        </w:rPr>
        <w:t>.  La Cour ajoute en disant qu’ « </w:t>
      </w:r>
      <w:r w:rsidR="00694424" w:rsidRPr="00695693">
        <w:rPr>
          <w:rFonts w:ascii="Times New Roman" w:hAnsi="Times New Roman" w:cs="Times New Roman"/>
          <w:i/>
          <w:sz w:val="24"/>
          <w:szCs w:val="24"/>
        </w:rPr>
        <w:t xml:space="preserve">avant de conclure à l’existence d’une telle situation, la juridiction nationale doit être convaincue que la même évidence s’imposerait également aux juridictions des autres </w:t>
      </w:r>
      <w:r w:rsidR="00640859">
        <w:rPr>
          <w:rFonts w:ascii="Times New Roman" w:hAnsi="Times New Roman" w:cs="Times New Roman"/>
          <w:i/>
          <w:sz w:val="24"/>
          <w:szCs w:val="24"/>
        </w:rPr>
        <w:t>Etats membres et à  la Cour de j</w:t>
      </w:r>
      <w:r w:rsidR="00694424" w:rsidRPr="00695693">
        <w:rPr>
          <w:rFonts w:ascii="Times New Roman" w:hAnsi="Times New Roman" w:cs="Times New Roman"/>
          <w:i/>
          <w:sz w:val="24"/>
          <w:szCs w:val="24"/>
        </w:rPr>
        <w:t>ustice. Ce n’est que si ces conditions sont remplies que la juridiction nationale pourra s’abstenir de soumettre cette question à la Cour et la résoudre sous sa propre responsabilité (…)</w:t>
      </w:r>
      <w:r w:rsidR="00694424" w:rsidRPr="00695693">
        <w:rPr>
          <w:rFonts w:ascii="Times New Roman" w:hAnsi="Times New Roman" w:cs="Times New Roman"/>
          <w:sz w:val="24"/>
          <w:szCs w:val="24"/>
        </w:rPr>
        <w:t> »</w:t>
      </w:r>
      <w:r w:rsidR="00694424" w:rsidRPr="00695693">
        <w:rPr>
          <w:rStyle w:val="Appelnotedebasdep"/>
          <w:rFonts w:ascii="Times New Roman" w:hAnsi="Times New Roman" w:cs="Times New Roman"/>
          <w:sz w:val="24"/>
          <w:szCs w:val="24"/>
        </w:rPr>
        <w:footnoteReference w:id="246"/>
      </w:r>
      <w:r w:rsidR="00694424" w:rsidRPr="00695693">
        <w:rPr>
          <w:rFonts w:ascii="Times New Roman" w:hAnsi="Times New Roman" w:cs="Times New Roman"/>
          <w:sz w:val="24"/>
          <w:szCs w:val="24"/>
        </w:rPr>
        <w:t>.</w:t>
      </w:r>
      <w:r w:rsidR="00D87CB4" w:rsidRPr="00695693">
        <w:rPr>
          <w:rFonts w:ascii="Times New Roman" w:hAnsi="Times New Roman" w:cs="Times New Roman"/>
          <w:sz w:val="24"/>
          <w:szCs w:val="24"/>
        </w:rPr>
        <w:t xml:space="preserve"> L’objectif primordial recherché ici est </w:t>
      </w:r>
      <w:r w:rsidR="00977F57" w:rsidRPr="00695693">
        <w:rPr>
          <w:rFonts w:ascii="Times New Roman" w:hAnsi="Times New Roman" w:cs="Times New Roman"/>
          <w:sz w:val="24"/>
          <w:szCs w:val="24"/>
        </w:rPr>
        <w:t>d’éviter tout risque d’atteinte</w:t>
      </w:r>
      <w:r w:rsidR="00694424" w:rsidRPr="00695693">
        <w:rPr>
          <w:rFonts w:ascii="Times New Roman" w:hAnsi="Times New Roman" w:cs="Times New Roman"/>
          <w:sz w:val="24"/>
          <w:szCs w:val="24"/>
        </w:rPr>
        <w:t xml:space="preserve"> à l’unité de l’ordre juridique communautaire. A cet égard, le Commissaire du gouvernement Monsieur LABAYLE n’a </w:t>
      </w:r>
      <w:r w:rsidR="00533F14">
        <w:rPr>
          <w:rFonts w:ascii="Times New Roman" w:hAnsi="Times New Roman" w:cs="Times New Roman"/>
          <w:sz w:val="24"/>
          <w:szCs w:val="24"/>
        </w:rPr>
        <w:t xml:space="preserve">pas </w:t>
      </w:r>
      <w:r w:rsidR="00694424" w:rsidRPr="00695693">
        <w:rPr>
          <w:rFonts w:ascii="Times New Roman" w:hAnsi="Times New Roman" w:cs="Times New Roman"/>
          <w:sz w:val="24"/>
          <w:szCs w:val="24"/>
        </w:rPr>
        <w:t>manqué d’indiquer que l’usage systématisé de la doctrine de l’acte clair par le Conseil d’Etat l’amenait à un « </w:t>
      </w:r>
      <w:r w:rsidR="00694424" w:rsidRPr="00695693">
        <w:rPr>
          <w:rFonts w:ascii="Times New Roman" w:hAnsi="Times New Roman" w:cs="Times New Roman"/>
          <w:i/>
          <w:sz w:val="24"/>
          <w:szCs w:val="24"/>
        </w:rPr>
        <w:t>nationalisme outrancier, poussant à l’obscuration</w:t>
      </w:r>
      <w:r w:rsidR="00694424" w:rsidRPr="00695693">
        <w:rPr>
          <w:rFonts w:ascii="Times New Roman" w:hAnsi="Times New Roman" w:cs="Times New Roman"/>
          <w:sz w:val="24"/>
          <w:szCs w:val="24"/>
        </w:rPr>
        <w:t> »</w:t>
      </w:r>
      <w:r w:rsidR="00694424" w:rsidRPr="00695693">
        <w:rPr>
          <w:rStyle w:val="Appelnotedebasdep"/>
          <w:rFonts w:ascii="Times New Roman" w:hAnsi="Times New Roman" w:cs="Times New Roman"/>
          <w:sz w:val="24"/>
          <w:szCs w:val="24"/>
        </w:rPr>
        <w:footnoteReference w:id="247"/>
      </w:r>
      <w:r w:rsidR="00DD72A5" w:rsidRPr="00695693">
        <w:rPr>
          <w:rFonts w:ascii="Times New Roman" w:hAnsi="Times New Roman" w:cs="Times New Roman"/>
          <w:sz w:val="24"/>
          <w:szCs w:val="24"/>
        </w:rPr>
        <w:t>.</w:t>
      </w:r>
    </w:p>
    <w:p w:rsidR="00DD72A5" w:rsidRPr="00695693" w:rsidRDefault="00747148" w:rsidP="006956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Toutefois, cette doctrine de l’acte clair n’est </w:t>
      </w:r>
      <w:r w:rsidR="00640859">
        <w:rPr>
          <w:rFonts w:ascii="Times New Roman" w:hAnsi="Times New Roman" w:cs="Times New Roman"/>
          <w:sz w:val="24"/>
          <w:szCs w:val="24"/>
        </w:rPr>
        <w:t xml:space="preserve">pas </w:t>
      </w:r>
      <w:r>
        <w:rPr>
          <w:rFonts w:ascii="Times New Roman" w:hAnsi="Times New Roman" w:cs="Times New Roman"/>
          <w:sz w:val="24"/>
          <w:szCs w:val="24"/>
        </w:rPr>
        <w:t>la seule utilisée pour refuser de renvoyer toute question préjudicielle</w:t>
      </w:r>
      <w:r w:rsidR="00D606DF">
        <w:rPr>
          <w:rFonts w:ascii="Times New Roman" w:hAnsi="Times New Roman" w:cs="Times New Roman"/>
          <w:sz w:val="24"/>
          <w:szCs w:val="24"/>
        </w:rPr>
        <w:t xml:space="preserve"> en interprétation</w:t>
      </w:r>
      <w:r>
        <w:rPr>
          <w:rFonts w:ascii="Times New Roman" w:hAnsi="Times New Roman" w:cs="Times New Roman"/>
          <w:sz w:val="24"/>
          <w:szCs w:val="24"/>
        </w:rPr>
        <w:t xml:space="preserve"> à la Cour de justice communautaire. L’organe </w:t>
      </w:r>
      <w:r w:rsidR="007D49F6">
        <w:rPr>
          <w:rFonts w:ascii="Times New Roman" w:hAnsi="Times New Roman" w:cs="Times New Roman"/>
          <w:sz w:val="24"/>
          <w:szCs w:val="24"/>
        </w:rPr>
        <w:t>national pourra</w:t>
      </w:r>
      <w:r w:rsidRPr="00747148">
        <w:rPr>
          <w:rFonts w:ascii="Times New Roman" w:hAnsi="Times New Roman" w:cs="Times New Roman"/>
          <w:sz w:val="24"/>
          <w:szCs w:val="24"/>
        </w:rPr>
        <w:t xml:space="preserve"> également recourir à l’utilisation de la règ</w:t>
      </w:r>
      <w:r>
        <w:rPr>
          <w:rFonts w:ascii="Times New Roman" w:hAnsi="Times New Roman" w:cs="Times New Roman"/>
          <w:sz w:val="24"/>
          <w:szCs w:val="24"/>
        </w:rPr>
        <w:t>le du précédent jurisprudentiel.</w:t>
      </w:r>
    </w:p>
    <w:p w:rsidR="00CB0F15" w:rsidRPr="00362E82" w:rsidRDefault="00F274EE" w:rsidP="0037430F">
      <w:pPr>
        <w:pStyle w:val="Titre5"/>
      </w:pPr>
      <w:bookmarkStart w:id="73" w:name="_Toc518672814"/>
      <w:r w:rsidRPr="00362E82">
        <w:lastRenderedPageBreak/>
        <w:t xml:space="preserve">B. </w:t>
      </w:r>
      <w:r w:rsidR="00694424" w:rsidRPr="00362E82">
        <w:t>L’utilisation de la règle du précédent jurisprudentiel</w:t>
      </w:r>
      <w:bookmarkEnd w:id="73"/>
    </w:p>
    <w:p w:rsidR="00332651" w:rsidRDefault="00DD13FA" w:rsidP="006956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 précédent jurisprudentiel, il faut </w:t>
      </w:r>
      <w:r w:rsidR="00276DD2">
        <w:rPr>
          <w:rFonts w:ascii="Times New Roman" w:hAnsi="Times New Roman" w:cs="Times New Roman"/>
          <w:sz w:val="24"/>
          <w:szCs w:val="24"/>
        </w:rPr>
        <w:t xml:space="preserve">simplement </w:t>
      </w:r>
      <w:r>
        <w:rPr>
          <w:rFonts w:ascii="Times New Roman" w:hAnsi="Times New Roman" w:cs="Times New Roman"/>
          <w:sz w:val="24"/>
          <w:szCs w:val="24"/>
        </w:rPr>
        <w:t>entendre une solution antérieurement donnée dans un litige semblable, invoquée comme référence</w:t>
      </w:r>
      <w:r w:rsidR="008F6389">
        <w:rPr>
          <w:rStyle w:val="Appelnotedebasdep"/>
          <w:rFonts w:ascii="Times New Roman" w:hAnsi="Times New Roman" w:cs="Times New Roman"/>
          <w:sz w:val="24"/>
          <w:szCs w:val="24"/>
        </w:rPr>
        <w:footnoteReference w:id="248"/>
      </w:r>
      <w:r w:rsidR="00332651">
        <w:rPr>
          <w:rFonts w:ascii="Times New Roman" w:hAnsi="Times New Roman" w:cs="Times New Roman"/>
          <w:sz w:val="24"/>
          <w:szCs w:val="24"/>
        </w:rPr>
        <w:t xml:space="preserve"> par une juridiction nationale supérieure et servant de prétexte à l’absence de renvoi à la Cour de justice communautaire.</w:t>
      </w:r>
    </w:p>
    <w:p w:rsidR="00694424" w:rsidRPr="00695693" w:rsidRDefault="00CB0F15"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D’origine prétorienne, la règle du précédent signifie </w:t>
      </w:r>
      <w:r w:rsidR="006C2066" w:rsidRPr="00695693">
        <w:rPr>
          <w:rFonts w:ascii="Times New Roman" w:hAnsi="Times New Roman" w:cs="Times New Roman"/>
          <w:sz w:val="24"/>
          <w:szCs w:val="24"/>
        </w:rPr>
        <w:t xml:space="preserve">que </w:t>
      </w:r>
      <w:r w:rsidRPr="00695693">
        <w:rPr>
          <w:rFonts w:ascii="Times New Roman" w:hAnsi="Times New Roman" w:cs="Times New Roman"/>
          <w:sz w:val="24"/>
          <w:szCs w:val="24"/>
        </w:rPr>
        <w:t xml:space="preserve">l’organe national doit rendre ses décisions juridictionnelles conformément aux jurisprudences antérieures. </w:t>
      </w:r>
      <w:r w:rsidR="00433403" w:rsidRPr="00695693">
        <w:rPr>
          <w:rFonts w:ascii="Times New Roman" w:hAnsi="Times New Roman" w:cs="Times New Roman"/>
          <w:sz w:val="24"/>
          <w:szCs w:val="24"/>
        </w:rPr>
        <w:t>C</w:t>
      </w:r>
      <w:r w:rsidR="00986519" w:rsidRPr="00695693">
        <w:rPr>
          <w:rFonts w:ascii="Times New Roman" w:hAnsi="Times New Roman" w:cs="Times New Roman"/>
          <w:sz w:val="24"/>
          <w:szCs w:val="24"/>
        </w:rPr>
        <w:t xml:space="preserve">ette doctrine s’analyse en </w:t>
      </w:r>
      <w:r w:rsidRPr="00695693">
        <w:rPr>
          <w:rFonts w:ascii="Times New Roman" w:hAnsi="Times New Roman" w:cs="Times New Roman"/>
          <w:sz w:val="24"/>
          <w:szCs w:val="24"/>
        </w:rPr>
        <w:t xml:space="preserve">« </w:t>
      </w:r>
      <w:r w:rsidRPr="00695693">
        <w:rPr>
          <w:rFonts w:ascii="Times New Roman" w:hAnsi="Times New Roman" w:cs="Times New Roman"/>
          <w:i/>
          <w:sz w:val="24"/>
          <w:szCs w:val="24"/>
        </w:rPr>
        <w:t>une forme du respect de la jurisprudence existante</w:t>
      </w:r>
      <w:r w:rsidRPr="00695693">
        <w:rPr>
          <w:rFonts w:ascii="Times New Roman" w:hAnsi="Times New Roman" w:cs="Times New Roman"/>
          <w:sz w:val="24"/>
          <w:szCs w:val="24"/>
        </w:rPr>
        <w:t xml:space="preserve"> »</w:t>
      </w:r>
      <w:r w:rsidRPr="00695693">
        <w:rPr>
          <w:rStyle w:val="Appelnotedebasdep"/>
          <w:rFonts w:ascii="Times New Roman" w:hAnsi="Times New Roman" w:cs="Times New Roman"/>
          <w:sz w:val="24"/>
          <w:szCs w:val="24"/>
        </w:rPr>
        <w:footnoteReference w:id="249"/>
      </w:r>
      <w:r w:rsidRPr="00695693">
        <w:rPr>
          <w:rFonts w:ascii="Times New Roman" w:hAnsi="Times New Roman" w:cs="Times New Roman"/>
          <w:sz w:val="24"/>
          <w:szCs w:val="24"/>
        </w:rPr>
        <w:t xml:space="preserve">. </w:t>
      </w:r>
      <w:r w:rsidR="007E02A4" w:rsidRPr="00695693">
        <w:rPr>
          <w:rFonts w:ascii="Times New Roman" w:hAnsi="Times New Roman" w:cs="Times New Roman"/>
          <w:sz w:val="24"/>
          <w:szCs w:val="24"/>
        </w:rPr>
        <w:t xml:space="preserve">Elle joue exactement le même rôle que la doctrine de l’acte clair, et est applicable </w:t>
      </w:r>
      <w:r w:rsidR="00694424" w:rsidRPr="00695693">
        <w:rPr>
          <w:rFonts w:ascii="Times New Roman" w:hAnsi="Times New Roman" w:cs="Times New Roman"/>
          <w:sz w:val="24"/>
          <w:szCs w:val="24"/>
        </w:rPr>
        <w:t>dès</w:t>
      </w:r>
      <w:r w:rsidR="00791081">
        <w:rPr>
          <w:rFonts w:ascii="Times New Roman" w:hAnsi="Times New Roman" w:cs="Times New Roman"/>
          <w:sz w:val="24"/>
          <w:szCs w:val="24"/>
        </w:rPr>
        <w:t xml:space="preserve"> lors que la question soulevée </w:t>
      </w:r>
      <w:r w:rsidR="00694424" w:rsidRPr="00695693">
        <w:rPr>
          <w:rFonts w:ascii="Times New Roman" w:hAnsi="Times New Roman" w:cs="Times New Roman"/>
          <w:sz w:val="24"/>
          <w:szCs w:val="24"/>
        </w:rPr>
        <w:t> </w:t>
      </w:r>
      <w:r w:rsidR="00694424" w:rsidRPr="00791081">
        <w:rPr>
          <w:rFonts w:ascii="Times New Roman" w:hAnsi="Times New Roman" w:cs="Times New Roman"/>
          <w:sz w:val="24"/>
          <w:szCs w:val="24"/>
        </w:rPr>
        <w:t xml:space="preserve">est matériellement identique à une question ayant fait l’objet d’une décision à titre préjudiciel dans une espèce </w:t>
      </w:r>
      <w:r w:rsidR="00791081" w:rsidRPr="00791081">
        <w:rPr>
          <w:rFonts w:ascii="Times New Roman" w:hAnsi="Times New Roman" w:cs="Times New Roman"/>
          <w:sz w:val="24"/>
          <w:szCs w:val="24"/>
        </w:rPr>
        <w:t>analogue</w:t>
      </w:r>
      <w:r w:rsidR="00694424" w:rsidRPr="00695693">
        <w:rPr>
          <w:rStyle w:val="Appelnotedebasdep"/>
          <w:rFonts w:ascii="Times New Roman" w:hAnsi="Times New Roman" w:cs="Times New Roman"/>
          <w:sz w:val="24"/>
          <w:szCs w:val="24"/>
        </w:rPr>
        <w:footnoteReference w:id="250"/>
      </w:r>
      <w:r w:rsidR="00694424" w:rsidRPr="00695693">
        <w:rPr>
          <w:rFonts w:ascii="Times New Roman" w:hAnsi="Times New Roman" w:cs="Times New Roman"/>
          <w:sz w:val="24"/>
          <w:szCs w:val="24"/>
        </w:rPr>
        <w:t>. Cependant, à la différence de la théorie de l’acte clair</w:t>
      </w:r>
      <w:r w:rsidRPr="00695693">
        <w:rPr>
          <w:rStyle w:val="Appelnotedebasdep"/>
          <w:rFonts w:ascii="Times New Roman" w:hAnsi="Times New Roman" w:cs="Times New Roman"/>
          <w:sz w:val="24"/>
          <w:szCs w:val="24"/>
        </w:rPr>
        <w:footnoteReference w:id="251"/>
      </w:r>
      <w:r w:rsidR="00694424" w:rsidRPr="00695693">
        <w:rPr>
          <w:rFonts w:ascii="Times New Roman" w:hAnsi="Times New Roman" w:cs="Times New Roman"/>
          <w:sz w:val="24"/>
          <w:szCs w:val="24"/>
        </w:rPr>
        <w:t xml:space="preserve">, la règle du précédent </w:t>
      </w:r>
      <w:r w:rsidR="00E37B15" w:rsidRPr="00695693">
        <w:rPr>
          <w:rFonts w:ascii="Times New Roman" w:hAnsi="Times New Roman" w:cs="Times New Roman"/>
          <w:sz w:val="24"/>
          <w:szCs w:val="24"/>
        </w:rPr>
        <w:t>jurisprudentiel a un champ d’application plus vaste. Elle peut concerner non seulement les questions d’interprétation, m</w:t>
      </w:r>
      <w:r w:rsidR="00335333" w:rsidRPr="00695693">
        <w:rPr>
          <w:rFonts w:ascii="Times New Roman" w:hAnsi="Times New Roman" w:cs="Times New Roman"/>
          <w:sz w:val="24"/>
          <w:szCs w:val="24"/>
        </w:rPr>
        <w:t>ais aussi celles d’appréciation</w:t>
      </w:r>
      <w:r w:rsidR="00E37B15" w:rsidRPr="00695693">
        <w:rPr>
          <w:rFonts w:ascii="Times New Roman" w:hAnsi="Times New Roman" w:cs="Times New Roman"/>
          <w:sz w:val="24"/>
          <w:szCs w:val="24"/>
        </w:rPr>
        <w:t xml:space="preserve">. D’ailleurs, cette règle </w:t>
      </w:r>
      <w:r w:rsidR="00694424" w:rsidRPr="00695693">
        <w:rPr>
          <w:rFonts w:ascii="Times New Roman" w:hAnsi="Times New Roman" w:cs="Times New Roman"/>
          <w:sz w:val="24"/>
          <w:szCs w:val="24"/>
        </w:rPr>
        <w:t>peut s’appliquer au-delà du recours préjudiciel, c’est-à-</w:t>
      </w:r>
      <w:r w:rsidR="00433403" w:rsidRPr="00695693">
        <w:rPr>
          <w:rFonts w:ascii="Times New Roman" w:hAnsi="Times New Roman" w:cs="Times New Roman"/>
          <w:sz w:val="24"/>
          <w:szCs w:val="24"/>
        </w:rPr>
        <w:t>dire à tout le contentieux communautaire</w:t>
      </w:r>
      <w:r w:rsidR="00694424" w:rsidRPr="00695693">
        <w:rPr>
          <w:rStyle w:val="Appelnotedebasdep"/>
          <w:rFonts w:ascii="Times New Roman" w:hAnsi="Times New Roman" w:cs="Times New Roman"/>
          <w:sz w:val="24"/>
          <w:szCs w:val="24"/>
        </w:rPr>
        <w:footnoteReference w:id="252"/>
      </w:r>
      <w:r w:rsidR="00694424" w:rsidRPr="00695693">
        <w:rPr>
          <w:rFonts w:ascii="Times New Roman" w:hAnsi="Times New Roman" w:cs="Times New Roman"/>
          <w:sz w:val="24"/>
          <w:szCs w:val="24"/>
        </w:rPr>
        <w:t>.</w:t>
      </w:r>
    </w:p>
    <w:p w:rsidR="00694424" w:rsidRPr="00174474" w:rsidRDefault="00C665F0" w:rsidP="00695693">
      <w:pPr>
        <w:spacing w:line="360" w:lineRule="auto"/>
        <w:jc w:val="both"/>
        <w:rPr>
          <w:rFonts w:ascii="Times New Roman" w:hAnsi="Times New Roman" w:cs="Times New Roman"/>
          <w:color w:val="FF0000"/>
          <w:sz w:val="24"/>
          <w:szCs w:val="24"/>
        </w:rPr>
      </w:pPr>
      <w:r w:rsidRPr="00695693">
        <w:rPr>
          <w:rFonts w:ascii="Times New Roman" w:hAnsi="Times New Roman" w:cs="Times New Roman"/>
          <w:sz w:val="24"/>
          <w:szCs w:val="24"/>
        </w:rPr>
        <w:t>En France, l</w:t>
      </w:r>
      <w:r w:rsidR="00694424" w:rsidRPr="00695693">
        <w:rPr>
          <w:rFonts w:ascii="Times New Roman" w:hAnsi="Times New Roman" w:cs="Times New Roman"/>
          <w:sz w:val="24"/>
          <w:szCs w:val="24"/>
        </w:rPr>
        <w:t xml:space="preserve">a mise en œuvre </w:t>
      </w:r>
      <w:r w:rsidRPr="00695693">
        <w:rPr>
          <w:rFonts w:ascii="Times New Roman" w:hAnsi="Times New Roman" w:cs="Times New Roman"/>
          <w:sz w:val="24"/>
          <w:szCs w:val="24"/>
        </w:rPr>
        <w:t xml:space="preserve">de cette règle </w:t>
      </w:r>
      <w:r w:rsidR="00694424" w:rsidRPr="00695693">
        <w:rPr>
          <w:rFonts w:ascii="Times New Roman" w:hAnsi="Times New Roman" w:cs="Times New Roman"/>
          <w:sz w:val="24"/>
          <w:szCs w:val="24"/>
        </w:rPr>
        <w:t>se fait « </w:t>
      </w:r>
      <w:r w:rsidR="00694424" w:rsidRPr="00695693">
        <w:rPr>
          <w:rFonts w:ascii="Times New Roman" w:hAnsi="Times New Roman" w:cs="Times New Roman"/>
          <w:i/>
          <w:sz w:val="24"/>
          <w:szCs w:val="24"/>
        </w:rPr>
        <w:t>dans les hypothèses où le Conseil d’Etat fait l’économie d’un renvoi, non parce que le texte est clair, mais pour le motif qui a déjà fait l’objet d’une interprétation de la part </w:t>
      </w:r>
      <w:r w:rsidR="00694424" w:rsidRPr="00695693">
        <w:rPr>
          <w:rFonts w:ascii="Times New Roman" w:hAnsi="Times New Roman" w:cs="Times New Roman"/>
          <w:sz w:val="24"/>
          <w:szCs w:val="24"/>
        </w:rPr>
        <w:t>»</w:t>
      </w:r>
      <w:r w:rsidR="00694424" w:rsidRPr="00695693">
        <w:rPr>
          <w:rStyle w:val="Appelnotedebasdep"/>
          <w:rFonts w:ascii="Times New Roman" w:hAnsi="Times New Roman" w:cs="Times New Roman"/>
          <w:sz w:val="24"/>
          <w:szCs w:val="24"/>
        </w:rPr>
        <w:footnoteReference w:id="253"/>
      </w:r>
      <w:r w:rsidR="00B23427" w:rsidRPr="00695693">
        <w:rPr>
          <w:rFonts w:ascii="Times New Roman" w:hAnsi="Times New Roman" w:cs="Times New Roman"/>
          <w:sz w:val="24"/>
          <w:szCs w:val="24"/>
        </w:rPr>
        <w:t xml:space="preserve"> de la Cour de j</w:t>
      </w:r>
      <w:r w:rsidR="00694424" w:rsidRPr="00695693">
        <w:rPr>
          <w:rFonts w:ascii="Times New Roman" w:hAnsi="Times New Roman" w:cs="Times New Roman"/>
          <w:sz w:val="24"/>
          <w:szCs w:val="24"/>
        </w:rPr>
        <w:t xml:space="preserve">ustice. </w:t>
      </w:r>
      <w:r w:rsidR="00E8468F" w:rsidRPr="00695693">
        <w:rPr>
          <w:rFonts w:ascii="Times New Roman" w:hAnsi="Times New Roman" w:cs="Times New Roman"/>
          <w:sz w:val="24"/>
          <w:szCs w:val="24"/>
        </w:rPr>
        <w:t>Toutefois, s</w:t>
      </w:r>
      <w:r w:rsidR="00694424" w:rsidRPr="00695693">
        <w:rPr>
          <w:rFonts w:ascii="Times New Roman" w:hAnsi="Times New Roman" w:cs="Times New Roman"/>
          <w:sz w:val="24"/>
          <w:szCs w:val="24"/>
        </w:rPr>
        <w:t xml:space="preserve">i </w:t>
      </w:r>
      <w:r w:rsidR="00E8468F" w:rsidRPr="00695693">
        <w:rPr>
          <w:rFonts w:ascii="Times New Roman" w:hAnsi="Times New Roman" w:cs="Times New Roman"/>
          <w:sz w:val="24"/>
          <w:szCs w:val="24"/>
        </w:rPr>
        <w:t>cette théorie</w:t>
      </w:r>
      <w:r w:rsidR="00694424" w:rsidRPr="00695693">
        <w:rPr>
          <w:rFonts w:ascii="Times New Roman" w:hAnsi="Times New Roman" w:cs="Times New Roman"/>
          <w:sz w:val="24"/>
          <w:szCs w:val="24"/>
        </w:rPr>
        <w:t xml:space="preserve"> avait eu le mérite </w:t>
      </w:r>
      <w:r w:rsidR="00AC6B35" w:rsidRPr="00695693">
        <w:rPr>
          <w:rFonts w:ascii="Times New Roman" w:hAnsi="Times New Roman" w:cs="Times New Roman"/>
          <w:sz w:val="24"/>
          <w:szCs w:val="24"/>
        </w:rPr>
        <w:t xml:space="preserve">d’alléger le travail de </w:t>
      </w:r>
      <w:r w:rsidR="00B23427" w:rsidRPr="00695693">
        <w:rPr>
          <w:rFonts w:ascii="Times New Roman" w:hAnsi="Times New Roman" w:cs="Times New Roman"/>
          <w:sz w:val="24"/>
          <w:szCs w:val="24"/>
        </w:rPr>
        <w:t>la Cour de j</w:t>
      </w:r>
      <w:r w:rsidR="00791081">
        <w:rPr>
          <w:rFonts w:ascii="Times New Roman" w:hAnsi="Times New Roman" w:cs="Times New Roman"/>
          <w:sz w:val="24"/>
          <w:szCs w:val="24"/>
        </w:rPr>
        <w:t xml:space="preserve">ustice, </w:t>
      </w:r>
      <w:r w:rsidR="00AC6B35" w:rsidRPr="00695693">
        <w:rPr>
          <w:rFonts w:ascii="Times New Roman" w:hAnsi="Times New Roman" w:cs="Times New Roman"/>
          <w:sz w:val="24"/>
          <w:szCs w:val="24"/>
        </w:rPr>
        <w:t> </w:t>
      </w:r>
      <w:r w:rsidR="00AC6B35" w:rsidRPr="00791081">
        <w:rPr>
          <w:rFonts w:ascii="Times New Roman" w:hAnsi="Times New Roman" w:cs="Times New Roman"/>
          <w:sz w:val="24"/>
          <w:szCs w:val="24"/>
        </w:rPr>
        <w:t>en lui évitant d’avoir à examiner des recours inutile</w:t>
      </w:r>
      <w:r w:rsidR="00F007F4" w:rsidRPr="00791081">
        <w:rPr>
          <w:rFonts w:ascii="Times New Roman" w:hAnsi="Times New Roman" w:cs="Times New Roman"/>
          <w:sz w:val="24"/>
          <w:szCs w:val="24"/>
        </w:rPr>
        <w:t>s</w:t>
      </w:r>
      <w:r w:rsidR="00AC6B35" w:rsidRPr="00695693">
        <w:rPr>
          <w:rStyle w:val="Appelnotedebasdep"/>
          <w:rFonts w:ascii="Times New Roman" w:hAnsi="Times New Roman" w:cs="Times New Roman"/>
          <w:sz w:val="24"/>
          <w:szCs w:val="24"/>
        </w:rPr>
        <w:footnoteReference w:id="254"/>
      </w:r>
      <w:r w:rsidR="00AC6B35" w:rsidRPr="00695693">
        <w:rPr>
          <w:rFonts w:ascii="Times New Roman" w:hAnsi="Times New Roman" w:cs="Times New Roman"/>
          <w:sz w:val="24"/>
          <w:szCs w:val="24"/>
        </w:rPr>
        <w:t xml:space="preserve">, </w:t>
      </w:r>
      <w:r w:rsidR="00694424" w:rsidRPr="00695693">
        <w:rPr>
          <w:rFonts w:ascii="Times New Roman" w:hAnsi="Times New Roman" w:cs="Times New Roman"/>
          <w:sz w:val="24"/>
          <w:szCs w:val="24"/>
        </w:rPr>
        <w:t xml:space="preserve">il n’en demeure pas moins qu’elle </w:t>
      </w:r>
      <w:r w:rsidR="00433403" w:rsidRPr="00695693">
        <w:rPr>
          <w:rFonts w:ascii="Times New Roman" w:hAnsi="Times New Roman" w:cs="Times New Roman"/>
          <w:sz w:val="24"/>
          <w:szCs w:val="24"/>
        </w:rPr>
        <w:t>comporte</w:t>
      </w:r>
      <w:r w:rsidR="00694424" w:rsidRPr="00695693">
        <w:rPr>
          <w:rFonts w:ascii="Times New Roman" w:hAnsi="Times New Roman" w:cs="Times New Roman"/>
          <w:sz w:val="24"/>
          <w:szCs w:val="24"/>
        </w:rPr>
        <w:t xml:space="preserve"> des inconvénients dans la mesure où elle limi</w:t>
      </w:r>
      <w:r w:rsidR="0069240F" w:rsidRPr="00695693">
        <w:rPr>
          <w:rFonts w:ascii="Times New Roman" w:hAnsi="Times New Roman" w:cs="Times New Roman"/>
          <w:sz w:val="24"/>
          <w:szCs w:val="24"/>
        </w:rPr>
        <w:t>te le développement du renvoi</w:t>
      </w:r>
      <w:r w:rsidR="00694424" w:rsidRPr="00695693">
        <w:rPr>
          <w:rFonts w:ascii="Times New Roman" w:hAnsi="Times New Roman" w:cs="Times New Roman"/>
          <w:sz w:val="24"/>
          <w:szCs w:val="24"/>
        </w:rPr>
        <w:t xml:space="preserve"> préjudiciel.</w:t>
      </w:r>
      <w:r w:rsidR="000C1EBA" w:rsidRPr="00695693">
        <w:rPr>
          <w:rFonts w:ascii="Times New Roman" w:hAnsi="Times New Roman" w:cs="Times New Roman"/>
          <w:sz w:val="24"/>
          <w:szCs w:val="24"/>
        </w:rPr>
        <w:t>Dans le système communautaire CED</w:t>
      </w:r>
      <w:r w:rsidR="00433403" w:rsidRPr="00695693">
        <w:rPr>
          <w:rFonts w:ascii="Times New Roman" w:hAnsi="Times New Roman" w:cs="Times New Roman"/>
          <w:sz w:val="24"/>
          <w:szCs w:val="24"/>
        </w:rPr>
        <w:t xml:space="preserve">EAOoù </w:t>
      </w:r>
      <w:r w:rsidR="00B23427" w:rsidRPr="00695693">
        <w:rPr>
          <w:rFonts w:ascii="Times New Roman" w:hAnsi="Times New Roman" w:cs="Times New Roman"/>
          <w:sz w:val="24"/>
          <w:szCs w:val="24"/>
        </w:rPr>
        <w:t>la Cour de j</w:t>
      </w:r>
      <w:r w:rsidR="000C1EBA" w:rsidRPr="00695693">
        <w:rPr>
          <w:rFonts w:ascii="Times New Roman" w:hAnsi="Times New Roman" w:cs="Times New Roman"/>
          <w:sz w:val="24"/>
          <w:szCs w:val="24"/>
        </w:rPr>
        <w:t>ustice n’a jamais eu l’occasion de se prononcer sur des questions de nature préjudicielle, on peut s’interroger s</w:t>
      </w:r>
      <w:r w:rsidR="00B77D4B" w:rsidRPr="00695693">
        <w:rPr>
          <w:rFonts w:ascii="Times New Roman" w:hAnsi="Times New Roman" w:cs="Times New Roman"/>
          <w:sz w:val="24"/>
          <w:szCs w:val="24"/>
        </w:rPr>
        <w:t xml:space="preserve">ur l’utilité de cette doctrine. </w:t>
      </w:r>
      <w:r w:rsidR="000B62A1" w:rsidRPr="00695693">
        <w:rPr>
          <w:rFonts w:ascii="Times New Roman" w:hAnsi="Times New Roman" w:cs="Times New Roman"/>
          <w:sz w:val="24"/>
          <w:szCs w:val="24"/>
        </w:rPr>
        <w:t>A</w:t>
      </w:r>
      <w:r w:rsidR="000C1EBA" w:rsidRPr="00695693">
        <w:rPr>
          <w:rFonts w:ascii="Times New Roman" w:hAnsi="Times New Roman" w:cs="Times New Roman"/>
          <w:sz w:val="24"/>
          <w:szCs w:val="24"/>
        </w:rPr>
        <w:t xml:space="preserve"> notre </w:t>
      </w:r>
      <w:r w:rsidR="00A34A15" w:rsidRPr="00695693">
        <w:rPr>
          <w:rFonts w:ascii="Times New Roman" w:hAnsi="Times New Roman" w:cs="Times New Roman"/>
          <w:sz w:val="24"/>
          <w:szCs w:val="24"/>
        </w:rPr>
        <w:t>sens</w:t>
      </w:r>
      <w:r w:rsidR="000C1EBA" w:rsidRPr="00695693">
        <w:rPr>
          <w:rFonts w:ascii="Times New Roman" w:hAnsi="Times New Roman" w:cs="Times New Roman"/>
          <w:sz w:val="24"/>
          <w:szCs w:val="24"/>
        </w:rPr>
        <w:t xml:space="preserve">, si on s’en tient à l’avantage de la théorie, tel qu’il a été souligné en droit </w:t>
      </w:r>
      <w:r w:rsidR="00961D7B">
        <w:rPr>
          <w:rFonts w:ascii="Times New Roman" w:hAnsi="Times New Roman" w:cs="Times New Roman"/>
          <w:sz w:val="24"/>
          <w:szCs w:val="24"/>
        </w:rPr>
        <w:t xml:space="preserve">communautaire </w:t>
      </w:r>
      <w:r w:rsidR="000C1EBA" w:rsidRPr="00695693">
        <w:rPr>
          <w:rFonts w:ascii="Times New Roman" w:hAnsi="Times New Roman" w:cs="Times New Roman"/>
          <w:sz w:val="24"/>
          <w:szCs w:val="24"/>
        </w:rPr>
        <w:t>européen, l’utilit</w:t>
      </w:r>
      <w:r w:rsidR="00E42FE3" w:rsidRPr="00695693">
        <w:rPr>
          <w:rFonts w:ascii="Times New Roman" w:hAnsi="Times New Roman" w:cs="Times New Roman"/>
          <w:sz w:val="24"/>
          <w:szCs w:val="24"/>
        </w:rPr>
        <w:t>é de la doctrine du précédent jurisprudentiel</w:t>
      </w:r>
      <w:r w:rsidR="00433403" w:rsidRPr="00695693">
        <w:rPr>
          <w:rFonts w:ascii="Times New Roman" w:hAnsi="Times New Roman" w:cs="Times New Roman"/>
          <w:sz w:val="24"/>
          <w:szCs w:val="24"/>
        </w:rPr>
        <w:t xml:space="preserve"> n’est pas si évidente</w:t>
      </w:r>
      <w:r w:rsidR="000C1EBA" w:rsidRPr="00695693">
        <w:rPr>
          <w:rFonts w:ascii="Times New Roman" w:hAnsi="Times New Roman" w:cs="Times New Roman"/>
          <w:sz w:val="24"/>
          <w:szCs w:val="24"/>
        </w:rPr>
        <w:t xml:space="preserve">, étant donné que le </w:t>
      </w:r>
      <w:r w:rsidR="000C1EBA" w:rsidRPr="00695693">
        <w:rPr>
          <w:rFonts w:ascii="Times New Roman" w:hAnsi="Times New Roman" w:cs="Times New Roman"/>
          <w:sz w:val="24"/>
          <w:szCs w:val="24"/>
        </w:rPr>
        <w:lastRenderedPageBreak/>
        <w:t xml:space="preserve">prétoire du juge CEDEAO est </w:t>
      </w:r>
      <w:r w:rsidR="009220D3" w:rsidRPr="00695693">
        <w:rPr>
          <w:rFonts w:ascii="Times New Roman" w:hAnsi="Times New Roman" w:cs="Times New Roman"/>
          <w:sz w:val="24"/>
          <w:szCs w:val="24"/>
        </w:rPr>
        <w:t xml:space="preserve">loin d’être encombré par </w:t>
      </w:r>
      <w:r w:rsidR="000C1EBA" w:rsidRPr="00695693">
        <w:rPr>
          <w:rFonts w:ascii="Times New Roman" w:hAnsi="Times New Roman" w:cs="Times New Roman"/>
          <w:sz w:val="24"/>
          <w:szCs w:val="24"/>
        </w:rPr>
        <w:t>le recours de type préju</w:t>
      </w:r>
      <w:r w:rsidR="00B66433" w:rsidRPr="00695693">
        <w:rPr>
          <w:rFonts w:ascii="Times New Roman" w:hAnsi="Times New Roman" w:cs="Times New Roman"/>
          <w:sz w:val="24"/>
          <w:szCs w:val="24"/>
        </w:rPr>
        <w:t xml:space="preserve">diciel. Toutefois, la théorie </w:t>
      </w:r>
      <w:r w:rsidR="00DC2D9D">
        <w:rPr>
          <w:rFonts w:ascii="Times New Roman" w:hAnsi="Times New Roman" w:cs="Times New Roman"/>
          <w:sz w:val="24"/>
          <w:szCs w:val="24"/>
        </w:rPr>
        <w:t xml:space="preserve">aurait pu </w:t>
      </w:r>
      <w:r w:rsidR="000C1EBA" w:rsidRPr="00695693">
        <w:rPr>
          <w:rFonts w:ascii="Times New Roman" w:hAnsi="Times New Roman" w:cs="Times New Roman"/>
          <w:sz w:val="24"/>
          <w:szCs w:val="24"/>
        </w:rPr>
        <w:t>garder toute son importance aussi longtemps que le juge CEDEAO se prononcerait sur des questions d’origine préjudicielles. Dans ce cas, elle</w:t>
      </w:r>
      <w:r w:rsidR="00E42FE3" w:rsidRPr="00695693">
        <w:rPr>
          <w:rFonts w:ascii="Times New Roman" w:hAnsi="Times New Roman" w:cs="Times New Roman"/>
          <w:sz w:val="24"/>
          <w:szCs w:val="24"/>
        </w:rPr>
        <w:t xml:space="preserve"> pourra servir à </w:t>
      </w:r>
      <w:r w:rsidR="000C1EBA" w:rsidRPr="00695693">
        <w:rPr>
          <w:rFonts w:ascii="Times New Roman" w:hAnsi="Times New Roman" w:cs="Times New Roman"/>
          <w:sz w:val="24"/>
          <w:szCs w:val="24"/>
        </w:rPr>
        <w:t xml:space="preserve">éviter tout recours abusif  </w:t>
      </w:r>
      <w:r w:rsidR="00862FAE" w:rsidRPr="00695693">
        <w:rPr>
          <w:rFonts w:ascii="Times New Roman" w:hAnsi="Times New Roman" w:cs="Times New Roman"/>
          <w:sz w:val="24"/>
          <w:szCs w:val="24"/>
        </w:rPr>
        <w:t>à la Cour de j</w:t>
      </w:r>
      <w:r w:rsidR="000C1EBA" w:rsidRPr="00695693">
        <w:rPr>
          <w:rFonts w:ascii="Times New Roman" w:hAnsi="Times New Roman" w:cs="Times New Roman"/>
          <w:sz w:val="24"/>
          <w:szCs w:val="24"/>
        </w:rPr>
        <w:t>ustice de la Communauté, c’est-à-dire dénué d’intérêt et susceptible d’engendrer des gaspillages de temps et d’argent à la fois à la juridiction de renvoi</w:t>
      </w:r>
      <w:r w:rsidR="000C1EBA" w:rsidRPr="00695693">
        <w:rPr>
          <w:rStyle w:val="Appelnotedebasdep"/>
          <w:rFonts w:ascii="Times New Roman" w:hAnsi="Times New Roman" w:cs="Times New Roman"/>
          <w:sz w:val="24"/>
          <w:szCs w:val="24"/>
        </w:rPr>
        <w:footnoteReference w:id="255"/>
      </w:r>
      <w:r w:rsidR="000C1EBA" w:rsidRPr="00695693">
        <w:rPr>
          <w:rFonts w:ascii="Times New Roman" w:hAnsi="Times New Roman" w:cs="Times New Roman"/>
          <w:sz w:val="24"/>
          <w:szCs w:val="24"/>
        </w:rPr>
        <w:t xml:space="preserve"> , aux parties à l’instance et à la CJ/CEDEAO.</w:t>
      </w:r>
    </w:p>
    <w:p w:rsidR="00B66433" w:rsidRPr="00695693" w:rsidRDefault="00CF0CDF"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Cependant</w:t>
      </w:r>
      <w:r w:rsidR="00694424" w:rsidRPr="00695693">
        <w:rPr>
          <w:rFonts w:ascii="Times New Roman" w:hAnsi="Times New Roman" w:cs="Times New Roman"/>
          <w:sz w:val="24"/>
          <w:szCs w:val="24"/>
        </w:rPr>
        <w:t xml:space="preserve">, il y a lieu de retenir que les difficultés procédurales décrites ci-dessus interviennent dans la phase préalable au renvoi préjudiciel. Elles ne sont </w:t>
      </w:r>
      <w:r w:rsidR="004875EE" w:rsidRPr="00695693">
        <w:rPr>
          <w:rFonts w:ascii="Times New Roman" w:hAnsi="Times New Roman" w:cs="Times New Roman"/>
          <w:sz w:val="24"/>
          <w:szCs w:val="24"/>
        </w:rPr>
        <w:t xml:space="preserve">donc </w:t>
      </w:r>
      <w:r w:rsidR="00694424" w:rsidRPr="00695693">
        <w:rPr>
          <w:rFonts w:ascii="Times New Roman" w:hAnsi="Times New Roman" w:cs="Times New Roman"/>
          <w:sz w:val="24"/>
          <w:szCs w:val="24"/>
        </w:rPr>
        <w:t>pas les seules à ent</w:t>
      </w:r>
      <w:r w:rsidR="00B66433" w:rsidRPr="00695693">
        <w:rPr>
          <w:rFonts w:ascii="Times New Roman" w:hAnsi="Times New Roman" w:cs="Times New Roman"/>
          <w:sz w:val="24"/>
          <w:szCs w:val="24"/>
        </w:rPr>
        <w:t>rav</w:t>
      </w:r>
      <w:r w:rsidR="00694424" w:rsidRPr="00695693">
        <w:rPr>
          <w:rFonts w:ascii="Times New Roman" w:hAnsi="Times New Roman" w:cs="Times New Roman"/>
          <w:sz w:val="24"/>
          <w:szCs w:val="24"/>
        </w:rPr>
        <w:t>er ledit renvoi, car les juridictions nationales pourraient aussi exprimer des rivalités en aval du mécanisme préjudiciel</w:t>
      </w:r>
      <w:r w:rsidR="00570D4E">
        <w:rPr>
          <w:rFonts w:ascii="Times New Roman" w:hAnsi="Times New Roman" w:cs="Times New Roman"/>
          <w:sz w:val="24"/>
          <w:szCs w:val="24"/>
        </w:rPr>
        <w:t> :c</w:t>
      </w:r>
      <w:r w:rsidR="004E3AD0" w:rsidRPr="00695693">
        <w:rPr>
          <w:rFonts w:ascii="Times New Roman" w:hAnsi="Times New Roman" w:cs="Times New Roman"/>
          <w:sz w:val="24"/>
          <w:szCs w:val="24"/>
        </w:rPr>
        <w:t xml:space="preserve">’est </w:t>
      </w:r>
      <w:r w:rsidR="00570D4E">
        <w:rPr>
          <w:rFonts w:ascii="Times New Roman" w:hAnsi="Times New Roman" w:cs="Times New Roman"/>
          <w:sz w:val="24"/>
          <w:szCs w:val="24"/>
        </w:rPr>
        <w:t xml:space="preserve">l’hypothèse </w:t>
      </w:r>
      <w:r w:rsidR="004E3AD0" w:rsidRPr="00695693">
        <w:rPr>
          <w:rFonts w:ascii="Times New Roman" w:hAnsi="Times New Roman" w:cs="Times New Roman"/>
          <w:sz w:val="24"/>
          <w:szCs w:val="24"/>
        </w:rPr>
        <w:t>des difficultés procédurales en aval.</w:t>
      </w:r>
    </w:p>
    <w:p w:rsidR="00694424" w:rsidRPr="00362E82" w:rsidRDefault="00BC4F8D" w:rsidP="002F7CA3">
      <w:pPr>
        <w:pStyle w:val="Titre4"/>
      </w:pPr>
      <w:bookmarkStart w:id="74" w:name="_Toc518672815"/>
      <w:r w:rsidRPr="00362E82">
        <w:t>§ 2</w:t>
      </w:r>
      <w:r w:rsidR="00694424" w:rsidRPr="00362E82">
        <w:t> : Les difficultés procédurales en aval</w:t>
      </w:r>
      <w:bookmarkEnd w:id="74"/>
    </w:p>
    <w:p w:rsidR="00694424" w:rsidRPr="00695693" w:rsidRDefault="001E1000"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Elles </w:t>
      </w:r>
      <w:r w:rsidR="004D2810">
        <w:rPr>
          <w:rFonts w:ascii="Times New Roman" w:hAnsi="Times New Roman" w:cs="Times New Roman"/>
          <w:sz w:val="24"/>
          <w:szCs w:val="24"/>
        </w:rPr>
        <w:t xml:space="preserve">s’assimilent </w:t>
      </w:r>
      <w:r w:rsidR="00694424" w:rsidRPr="00695693">
        <w:rPr>
          <w:rFonts w:ascii="Times New Roman" w:hAnsi="Times New Roman" w:cs="Times New Roman"/>
          <w:sz w:val="24"/>
          <w:szCs w:val="24"/>
        </w:rPr>
        <w:t>en une sorte de réticence vis-à-vis de l’autorité de l’arrêt préjudiciel, voire de sa remise en cause, et par conséquent de l’atteinte grave</w:t>
      </w:r>
      <w:r w:rsidR="00691E0E">
        <w:rPr>
          <w:rFonts w:ascii="Times New Roman" w:hAnsi="Times New Roman" w:cs="Times New Roman"/>
          <w:sz w:val="24"/>
          <w:szCs w:val="24"/>
        </w:rPr>
        <w:t xml:space="preserve"> à l’effectivité d</w:t>
      </w:r>
      <w:r w:rsidR="00631099">
        <w:rPr>
          <w:rFonts w:ascii="Times New Roman" w:hAnsi="Times New Roman" w:cs="Times New Roman"/>
          <w:sz w:val="24"/>
          <w:szCs w:val="24"/>
        </w:rPr>
        <w:t>u mécanisme du</w:t>
      </w:r>
      <w:r w:rsidR="00694424" w:rsidRPr="00695693">
        <w:rPr>
          <w:rFonts w:ascii="Times New Roman" w:hAnsi="Times New Roman" w:cs="Times New Roman"/>
          <w:sz w:val="24"/>
          <w:szCs w:val="24"/>
        </w:rPr>
        <w:t xml:space="preserve"> renvoi préjudiciel</w:t>
      </w:r>
      <w:r w:rsidR="003B665B">
        <w:rPr>
          <w:rFonts w:ascii="Times New Roman" w:hAnsi="Times New Roman" w:cs="Times New Roman"/>
          <w:sz w:val="24"/>
          <w:szCs w:val="24"/>
        </w:rPr>
        <w:t>. Cette réticence est perceptible</w:t>
      </w:r>
      <w:r w:rsidR="00694424" w:rsidRPr="00695693">
        <w:rPr>
          <w:rFonts w:ascii="Times New Roman" w:hAnsi="Times New Roman" w:cs="Times New Roman"/>
          <w:sz w:val="24"/>
          <w:szCs w:val="24"/>
        </w:rPr>
        <w:t xml:space="preserve"> tant pour les arrêts en interprétation </w:t>
      </w:r>
      <w:r w:rsidR="00694424" w:rsidRPr="00031477">
        <w:rPr>
          <w:rFonts w:ascii="Times New Roman" w:hAnsi="Times New Roman" w:cs="Times New Roman"/>
          <w:b/>
          <w:sz w:val="24"/>
          <w:szCs w:val="24"/>
        </w:rPr>
        <w:t>(A)</w:t>
      </w:r>
      <w:r w:rsidR="00694424" w:rsidRPr="00695693">
        <w:rPr>
          <w:rFonts w:ascii="Times New Roman" w:hAnsi="Times New Roman" w:cs="Times New Roman"/>
          <w:sz w:val="24"/>
          <w:szCs w:val="24"/>
        </w:rPr>
        <w:t xml:space="preserve"> que pour </w:t>
      </w:r>
      <w:r w:rsidR="009C119D">
        <w:rPr>
          <w:rFonts w:ascii="Times New Roman" w:hAnsi="Times New Roman" w:cs="Times New Roman"/>
          <w:sz w:val="24"/>
          <w:szCs w:val="24"/>
        </w:rPr>
        <w:t xml:space="preserve">ceux </w:t>
      </w:r>
      <w:r w:rsidR="00694424" w:rsidRPr="00695693">
        <w:rPr>
          <w:rFonts w:ascii="Times New Roman" w:hAnsi="Times New Roman" w:cs="Times New Roman"/>
          <w:sz w:val="24"/>
          <w:szCs w:val="24"/>
        </w:rPr>
        <w:t xml:space="preserve">en appréciation de validité </w:t>
      </w:r>
      <w:r w:rsidR="00694424" w:rsidRPr="00031477">
        <w:rPr>
          <w:rFonts w:ascii="Times New Roman" w:hAnsi="Times New Roman" w:cs="Times New Roman"/>
          <w:b/>
          <w:sz w:val="24"/>
          <w:szCs w:val="24"/>
        </w:rPr>
        <w:t>(B)</w:t>
      </w:r>
      <w:r w:rsidR="00694424" w:rsidRPr="00695693">
        <w:rPr>
          <w:rFonts w:ascii="Times New Roman" w:hAnsi="Times New Roman" w:cs="Times New Roman"/>
          <w:sz w:val="24"/>
          <w:szCs w:val="24"/>
        </w:rPr>
        <w:t>.</w:t>
      </w:r>
    </w:p>
    <w:p w:rsidR="003A064E" w:rsidRPr="00362E82" w:rsidRDefault="002317AC" w:rsidP="0037430F">
      <w:pPr>
        <w:pStyle w:val="Titre5"/>
      </w:pPr>
      <w:bookmarkStart w:id="75" w:name="_Toc518672816"/>
      <w:r w:rsidRPr="00362E82">
        <w:t xml:space="preserve">A. </w:t>
      </w:r>
      <w:r w:rsidR="00694424" w:rsidRPr="00362E82">
        <w:t>La réticence vis-à-vis de l’autorité des</w:t>
      </w:r>
      <w:r w:rsidR="003A064E" w:rsidRPr="00362E82">
        <w:t xml:space="preserve"> arrêts en interprétation</w:t>
      </w:r>
      <w:bookmarkEnd w:id="75"/>
    </w:p>
    <w:p w:rsidR="00694424" w:rsidRPr="00695693" w:rsidRDefault="000032B1"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On sait que </w:t>
      </w:r>
      <w:r w:rsidR="00694424" w:rsidRPr="00695693">
        <w:rPr>
          <w:rFonts w:ascii="Times New Roman" w:hAnsi="Times New Roman" w:cs="Times New Roman"/>
          <w:sz w:val="24"/>
          <w:szCs w:val="24"/>
        </w:rPr>
        <w:t>l’arrêt inter</w:t>
      </w:r>
      <w:r w:rsidR="00862FAE" w:rsidRPr="00695693">
        <w:rPr>
          <w:rFonts w:ascii="Times New Roman" w:hAnsi="Times New Roman" w:cs="Times New Roman"/>
          <w:sz w:val="24"/>
          <w:szCs w:val="24"/>
        </w:rPr>
        <w:t>prétatif rendu par la Cour de j</w:t>
      </w:r>
      <w:r w:rsidR="00694424" w:rsidRPr="00695693">
        <w:rPr>
          <w:rFonts w:ascii="Times New Roman" w:hAnsi="Times New Roman" w:cs="Times New Roman"/>
          <w:sz w:val="24"/>
          <w:szCs w:val="24"/>
        </w:rPr>
        <w:t xml:space="preserve">ustice </w:t>
      </w:r>
      <w:r w:rsidRPr="00695693">
        <w:rPr>
          <w:rFonts w:ascii="Times New Roman" w:hAnsi="Times New Roman" w:cs="Times New Roman"/>
          <w:sz w:val="24"/>
          <w:szCs w:val="24"/>
        </w:rPr>
        <w:t>à la suite d’une question d’interprétation</w:t>
      </w:r>
      <w:r w:rsidR="00694424" w:rsidRPr="00695693">
        <w:rPr>
          <w:rFonts w:ascii="Times New Roman" w:hAnsi="Times New Roman" w:cs="Times New Roman"/>
          <w:sz w:val="24"/>
          <w:szCs w:val="24"/>
        </w:rPr>
        <w:t xml:space="preserve"> s’impose aussi bien à l’organe national à l’origine de la question qu’à toute autre instance qui serait saisie d’une question identique</w:t>
      </w:r>
      <w:r w:rsidR="00694424" w:rsidRPr="00695693">
        <w:rPr>
          <w:rStyle w:val="Appelnotedebasdep"/>
          <w:rFonts w:ascii="Times New Roman" w:hAnsi="Times New Roman" w:cs="Times New Roman"/>
          <w:sz w:val="24"/>
          <w:szCs w:val="24"/>
        </w:rPr>
        <w:footnoteReference w:id="256"/>
      </w:r>
      <w:r w:rsidR="00694424" w:rsidRPr="00695693">
        <w:rPr>
          <w:rFonts w:ascii="Times New Roman" w:hAnsi="Times New Roman" w:cs="Times New Roman"/>
          <w:sz w:val="24"/>
          <w:szCs w:val="24"/>
        </w:rPr>
        <w:t>. Le juge national auteur de la question est donc tenu de le prendre en considération pour la résolution du litige ouvert devant lui</w:t>
      </w:r>
      <w:r w:rsidR="00694424" w:rsidRPr="00695693">
        <w:rPr>
          <w:rStyle w:val="Appelnotedebasdep"/>
          <w:rFonts w:ascii="Times New Roman" w:hAnsi="Times New Roman" w:cs="Times New Roman"/>
          <w:sz w:val="24"/>
          <w:szCs w:val="24"/>
        </w:rPr>
        <w:footnoteReference w:id="257"/>
      </w:r>
      <w:r w:rsidR="00B77D4B" w:rsidRPr="00695693">
        <w:rPr>
          <w:rFonts w:ascii="Times New Roman" w:hAnsi="Times New Roman" w:cs="Times New Roman"/>
          <w:sz w:val="24"/>
          <w:szCs w:val="24"/>
        </w:rPr>
        <w:t xml:space="preserve">. </w:t>
      </w:r>
      <w:r w:rsidR="004B4138" w:rsidRPr="00695693">
        <w:rPr>
          <w:rFonts w:ascii="Times New Roman" w:hAnsi="Times New Roman" w:cs="Times New Roman"/>
          <w:sz w:val="24"/>
          <w:szCs w:val="24"/>
        </w:rPr>
        <w:t xml:space="preserve">Cependant, </w:t>
      </w:r>
      <w:r w:rsidR="008B7A1D" w:rsidRPr="00695693">
        <w:rPr>
          <w:rFonts w:ascii="Times New Roman" w:hAnsi="Times New Roman" w:cs="Times New Roman"/>
          <w:sz w:val="24"/>
          <w:szCs w:val="24"/>
        </w:rPr>
        <w:t>ce même juge peut être amené</w:t>
      </w:r>
      <w:r w:rsidR="004B4138" w:rsidRPr="00695693">
        <w:rPr>
          <w:rFonts w:ascii="Times New Roman" w:hAnsi="Times New Roman" w:cs="Times New Roman"/>
          <w:sz w:val="24"/>
          <w:szCs w:val="24"/>
        </w:rPr>
        <w:t xml:space="preserve"> à exprimer des réticences vis-à-vis de l’arrêt de la cour, toutes les fois que celui-ci</w:t>
      </w:r>
      <w:r w:rsidR="00694424" w:rsidRPr="00695693">
        <w:rPr>
          <w:rFonts w:ascii="Times New Roman" w:hAnsi="Times New Roman" w:cs="Times New Roman"/>
          <w:sz w:val="24"/>
          <w:szCs w:val="24"/>
        </w:rPr>
        <w:t xml:space="preserve"> ne lui permet pas de</w:t>
      </w:r>
      <w:r w:rsidR="00B77D4B" w:rsidRPr="00695693">
        <w:rPr>
          <w:rFonts w:ascii="Times New Roman" w:hAnsi="Times New Roman" w:cs="Times New Roman"/>
          <w:sz w:val="24"/>
          <w:szCs w:val="24"/>
        </w:rPr>
        <w:t xml:space="preserve"> bien régler le litige dont il</w:t>
      </w:r>
      <w:r w:rsidR="00694424" w:rsidRPr="00695693">
        <w:rPr>
          <w:rFonts w:ascii="Times New Roman" w:hAnsi="Times New Roman" w:cs="Times New Roman"/>
          <w:sz w:val="24"/>
          <w:szCs w:val="24"/>
        </w:rPr>
        <w:t xml:space="preserve"> est saisi.</w:t>
      </w:r>
      <w:r w:rsidR="004F173D">
        <w:rPr>
          <w:rFonts w:ascii="Times New Roman" w:hAnsi="Times New Roman" w:cs="Times New Roman"/>
          <w:sz w:val="24"/>
          <w:szCs w:val="24"/>
        </w:rPr>
        <w:t xml:space="preserve"> La Cour a en effet accepté d’être à nouveau saisiepar le juge</w:t>
      </w:r>
      <w:r w:rsidR="00776897">
        <w:rPr>
          <w:rFonts w:ascii="Times New Roman" w:hAnsi="Times New Roman" w:cs="Times New Roman"/>
          <w:sz w:val="24"/>
          <w:szCs w:val="24"/>
        </w:rPr>
        <w:t xml:space="preserve"> de renvoi, s’il s’estime insuffisamment éclairé par la décision préjudicielle</w:t>
      </w:r>
      <w:r w:rsidR="00776897">
        <w:rPr>
          <w:rStyle w:val="Appelnotedebasdep"/>
          <w:rFonts w:ascii="Times New Roman" w:hAnsi="Times New Roman" w:cs="Times New Roman"/>
          <w:sz w:val="24"/>
          <w:szCs w:val="24"/>
        </w:rPr>
        <w:footnoteReference w:id="258"/>
      </w:r>
      <w:r w:rsidR="008B17E4">
        <w:rPr>
          <w:rFonts w:ascii="Times New Roman" w:hAnsi="Times New Roman" w:cs="Times New Roman"/>
          <w:sz w:val="24"/>
          <w:szCs w:val="24"/>
        </w:rPr>
        <w:t xml:space="preserve">. </w:t>
      </w:r>
      <w:r w:rsidR="00694424" w:rsidRPr="00695693">
        <w:rPr>
          <w:rFonts w:ascii="Times New Roman" w:hAnsi="Times New Roman" w:cs="Times New Roman"/>
          <w:sz w:val="24"/>
          <w:szCs w:val="24"/>
        </w:rPr>
        <w:t xml:space="preserve">Il en </w:t>
      </w:r>
      <w:r w:rsidR="008B17E4">
        <w:rPr>
          <w:rFonts w:ascii="Times New Roman" w:hAnsi="Times New Roman" w:cs="Times New Roman"/>
          <w:sz w:val="24"/>
          <w:szCs w:val="24"/>
        </w:rPr>
        <w:t xml:space="preserve">va de même </w:t>
      </w:r>
      <w:r w:rsidR="00694424" w:rsidRPr="00695693">
        <w:rPr>
          <w:rFonts w:ascii="Times New Roman" w:hAnsi="Times New Roman" w:cs="Times New Roman"/>
          <w:sz w:val="24"/>
          <w:szCs w:val="24"/>
        </w:rPr>
        <w:t xml:space="preserve">soit par exemple si le </w:t>
      </w:r>
      <w:r w:rsidR="00694424" w:rsidRPr="00695693">
        <w:rPr>
          <w:rFonts w:ascii="Times New Roman" w:hAnsi="Times New Roman" w:cs="Times New Roman"/>
          <w:sz w:val="24"/>
          <w:szCs w:val="24"/>
        </w:rPr>
        <w:lastRenderedPageBreak/>
        <w:t xml:space="preserve">juge de renvoi estime que la Cour a statué </w:t>
      </w:r>
      <w:r w:rsidR="00694424" w:rsidRPr="00695693">
        <w:rPr>
          <w:rFonts w:ascii="Times New Roman" w:hAnsi="Times New Roman" w:cs="Times New Roman"/>
          <w:i/>
          <w:sz w:val="24"/>
          <w:szCs w:val="24"/>
        </w:rPr>
        <w:t>ultra petita</w:t>
      </w:r>
      <w:r w:rsidR="00694424" w:rsidRPr="00695693">
        <w:rPr>
          <w:rStyle w:val="Appelnotedebasdep"/>
          <w:rFonts w:ascii="Times New Roman" w:hAnsi="Times New Roman" w:cs="Times New Roman"/>
          <w:sz w:val="24"/>
          <w:szCs w:val="24"/>
        </w:rPr>
        <w:footnoteReference w:id="259"/>
      </w:r>
      <w:r w:rsidR="00694424" w:rsidRPr="00695693">
        <w:rPr>
          <w:rFonts w:ascii="Times New Roman" w:hAnsi="Times New Roman" w:cs="Times New Roman"/>
          <w:sz w:val="24"/>
          <w:szCs w:val="24"/>
        </w:rPr>
        <w:t> ; soit encore s’il souhaite un réexamen de la question, parce qu’il se heurte à des difficultés de compréhension ou parce qu’il souhaite conduire la Cour à évoluer dans son interprétation</w:t>
      </w:r>
      <w:r w:rsidR="00694424" w:rsidRPr="00695693">
        <w:rPr>
          <w:rStyle w:val="Appelnotedebasdep"/>
          <w:rFonts w:ascii="Times New Roman" w:hAnsi="Times New Roman" w:cs="Times New Roman"/>
          <w:sz w:val="24"/>
          <w:szCs w:val="24"/>
        </w:rPr>
        <w:footnoteReference w:id="260"/>
      </w:r>
      <w:r w:rsidR="00694424" w:rsidRPr="00695693">
        <w:rPr>
          <w:rFonts w:ascii="Times New Roman" w:hAnsi="Times New Roman" w:cs="Times New Roman"/>
          <w:sz w:val="24"/>
          <w:szCs w:val="24"/>
        </w:rPr>
        <w:t xml:space="preserve">. Dans </w:t>
      </w:r>
      <w:r w:rsidR="00100BB6">
        <w:rPr>
          <w:rFonts w:ascii="Times New Roman" w:hAnsi="Times New Roman" w:cs="Times New Roman"/>
          <w:sz w:val="24"/>
          <w:szCs w:val="24"/>
        </w:rPr>
        <w:t xml:space="preserve">certains cas aussi, </w:t>
      </w:r>
      <w:r w:rsidR="00B72008">
        <w:rPr>
          <w:rFonts w:ascii="Times New Roman" w:hAnsi="Times New Roman" w:cs="Times New Roman"/>
          <w:sz w:val="24"/>
          <w:szCs w:val="24"/>
        </w:rPr>
        <w:t>le texte communautaire interprété par la Cour pourra toutefois ne pas s’appliquer s’il ressort de sa réponse qu’il n’est pas applicable en l’espèce</w:t>
      </w:r>
      <w:r w:rsidR="00B72008">
        <w:rPr>
          <w:rStyle w:val="Appelnotedebasdep"/>
          <w:rFonts w:ascii="Times New Roman" w:hAnsi="Times New Roman" w:cs="Times New Roman"/>
          <w:sz w:val="24"/>
          <w:szCs w:val="24"/>
        </w:rPr>
        <w:footnoteReference w:id="261"/>
      </w:r>
      <w:r w:rsidR="000C27D8">
        <w:rPr>
          <w:rFonts w:ascii="Times New Roman" w:hAnsi="Times New Roman" w:cs="Times New Roman"/>
          <w:sz w:val="24"/>
          <w:szCs w:val="24"/>
        </w:rPr>
        <w:t xml:space="preserve">. Dans </w:t>
      </w:r>
      <w:r w:rsidR="00694424" w:rsidRPr="00695693">
        <w:rPr>
          <w:rFonts w:ascii="Times New Roman" w:hAnsi="Times New Roman" w:cs="Times New Roman"/>
          <w:sz w:val="24"/>
          <w:szCs w:val="24"/>
        </w:rPr>
        <w:t>ces différents cas, rien n’empêche à ce que le juge de renvoi saisisse à nouveau la Cour</w:t>
      </w:r>
      <w:r w:rsidR="00694424" w:rsidRPr="00695693">
        <w:rPr>
          <w:rStyle w:val="Appelnotedebasdep"/>
          <w:rFonts w:ascii="Times New Roman" w:hAnsi="Times New Roman" w:cs="Times New Roman"/>
          <w:sz w:val="24"/>
          <w:szCs w:val="24"/>
        </w:rPr>
        <w:footnoteReference w:id="262"/>
      </w:r>
      <w:r w:rsidR="00694424" w:rsidRPr="00695693">
        <w:rPr>
          <w:rFonts w:ascii="Times New Roman" w:hAnsi="Times New Roman" w:cs="Times New Roman"/>
          <w:sz w:val="24"/>
          <w:szCs w:val="24"/>
        </w:rPr>
        <w:t>, c’est d’ailleurs la raison pour laquelle on parle de la possibilité de réi</w:t>
      </w:r>
      <w:r w:rsidR="007145A2" w:rsidRPr="00695693">
        <w:rPr>
          <w:rFonts w:ascii="Times New Roman" w:hAnsi="Times New Roman" w:cs="Times New Roman"/>
          <w:sz w:val="24"/>
          <w:szCs w:val="24"/>
        </w:rPr>
        <w:t xml:space="preserve">térer en matière préjudicielle. </w:t>
      </w:r>
      <w:r w:rsidR="00694424" w:rsidRPr="00695693">
        <w:rPr>
          <w:rFonts w:ascii="Times New Roman" w:hAnsi="Times New Roman" w:cs="Times New Roman"/>
          <w:sz w:val="24"/>
          <w:szCs w:val="24"/>
        </w:rPr>
        <w:t>Cette faculté reconnue à la juridiction nationale en cas du recours préjudiciel constitue une véritable limite à l’effectivité même dudit recours, parce qu’elle « </w:t>
      </w:r>
      <w:r w:rsidR="00694424" w:rsidRPr="00695693">
        <w:rPr>
          <w:rFonts w:ascii="Times New Roman" w:hAnsi="Times New Roman" w:cs="Times New Roman"/>
          <w:i/>
          <w:sz w:val="24"/>
          <w:szCs w:val="24"/>
        </w:rPr>
        <w:t>ouvre une brèche dans le principe de l’autorité absolue des arrêts interprétatifs</w:t>
      </w:r>
      <w:r w:rsidR="00694424" w:rsidRPr="00695693">
        <w:rPr>
          <w:rFonts w:ascii="Times New Roman" w:hAnsi="Times New Roman" w:cs="Times New Roman"/>
          <w:sz w:val="24"/>
          <w:szCs w:val="24"/>
        </w:rPr>
        <w:t>… »</w:t>
      </w:r>
      <w:r w:rsidR="00694424" w:rsidRPr="00695693">
        <w:rPr>
          <w:rStyle w:val="Appelnotedebasdep"/>
          <w:rFonts w:ascii="Times New Roman" w:hAnsi="Times New Roman" w:cs="Times New Roman"/>
          <w:sz w:val="24"/>
          <w:szCs w:val="24"/>
        </w:rPr>
        <w:footnoteReference w:id="263"/>
      </w:r>
      <w:r w:rsidR="008B7A1D" w:rsidRPr="00695693">
        <w:rPr>
          <w:rFonts w:ascii="Times New Roman" w:hAnsi="Times New Roman" w:cs="Times New Roman"/>
          <w:sz w:val="24"/>
          <w:szCs w:val="24"/>
        </w:rPr>
        <w:t xml:space="preserve">. </w:t>
      </w:r>
      <w:r w:rsidR="003C53BD">
        <w:rPr>
          <w:rFonts w:ascii="Times New Roman" w:hAnsi="Times New Roman" w:cs="Times New Roman"/>
          <w:sz w:val="24"/>
          <w:szCs w:val="24"/>
        </w:rPr>
        <w:t>Toutefois, u</w:t>
      </w:r>
      <w:r w:rsidR="00C36FCD" w:rsidRPr="00695693">
        <w:rPr>
          <w:rFonts w:ascii="Times New Roman" w:hAnsi="Times New Roman" w:cs="Times New Roman"/>
          <w:sz w:val="24"/>
          <w:szCs w:val="24"/>
        </w:rPr>
        <w:t xml:space="preserve">ne telle effectivité aurait puêtre </w:t>
      </w:r>
      <w:r w:rsidR="00694424" w:rsidRPr="00695693">
        <w:rPr>
          <w:rFonts w:ascii="Times New Roman" w:hAnsi="Times New Roman" w:cs="Times New Roman"/>
          <w:sz w:val="24"/>
          <w:szCs w:val="24"/>
        </w:rPr>
        <w:t>maintenue à la seule limite de l’usage de la possibilité de réitérer en cas de difficulté de compréhension de l’arrêt de la Cour.</w:t>
      </w:r>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En droit CEDEAO, rien ne s’oppose à l’application de cette faculté devant la Cour d</w:t>
      </w:r>
      <w:r w:rsidR="00862FAE" w:rsidRPr="00695693">
        <w:rPr>
          <w:rFonts w:ascii="Times New Roman" w:hAnsi="Times New Roman" w:cs="Times New Roman"/>
          <w:sz w:val="24"/>
          <w:szCs w:val="24"/>
        </w:rPr>
        <w:t>e j</w:t>
      </w:r>
      <w:r w:rsidRPr="00695693">
        <w:rPr>
          <w:rFonts w:ascii="Times New Roman" w:hAnsi="Times New Roman" w:cs="Times New Roman"/>
          <w:sz w:val="24"/>
          <w:szCs w:val="24"/>
        </w:rPr>
        <w:t xml:space="preserve">ustice de la communauté puisque le protocole additionnel ne comporte aucune prohibition de réitérer en matière préjudicielle. Il revient seulement à la </w:t>
      </w:r>
      <w:r w:rsidR="006077A4" w:rsidRPr="00695693">
        <w:rPr>
          <w:rFonts w:ascii="Times New Roman" w:hAnsi="Times New Roman" w:cs="Times New Roman"/>
          <w:sz w:val="24"/>
          <w:szCs w:val="24"/>
        </w:rPr>
        <w:t>futur</w:t>
      </w:r>
      <w:r w:rsidR="0068030A">
        <w:rPr>
          <w:rFonts w:ascii="Times New Roman" w:hAnsi="Times New Roman" w:cs="Times New Roman"/>
          <w:sz w:val="24"/>
          <w:szCs w:val="24"/>
        </w:rPr>
        <w:t>e</w:t>
      </w:r>
      <w:r w:rsidRPr="00695693">
        <w:rPr>
          <w:rFonts w:ascii="Times New Roman" w:hAnsi="Times New Roman" w:cs="Times New Roman"/>
          <w:sz w:val="24"/>
          <w:szCs w:val="24"/>
        </w:rPr>
        <w:t>juridiction de renvoi qui ente</w:t>
      </w:r>
      <w:r w:rsidR="00862FAE" w:rsidRPr="00695693">
        <w:rPr>
          <w:rFonts w:ascii="Times New Roman" w:hAnsi="Times New Roman" w:cs="Times New Roman"/>
          <w:sz w:val="24"/>
          <w:szCs w:val="24"/>
        </w:rPr>
        <w:t>nd saisir à nouveau la Cour de j</w:t>
      </w:r>
      <w:r w:rsidRPr="00695693">
        <w:rPr>
          <w:rFonts w:ascii="Times New Roman" w:hAnsi="Times New Roman" w:cs="Times New Roman"/>
          <w:sz w:val="24"/>
          <w:szCs w:val="24"/>
        </w:rPr>
        <w:t xml:space="preserve">ustice d’exposer clairement les raisons pour lesquelles elle estime qu’un réexamen de la question est nécessaire. Cette </w:t>
      </w:r>
      <w:r w:rsidR="004824C3" w:rsidRPr="00695693">
        <w:rPr>
          <w:rFonts w:ascii="Times New Roman" w:hAnsi="Times New Roman" w:cs="Times New Roman"/>
          <w:sz w:val="24"/>
          <w:szCs w:val="24"/>
        </w:rPr>
        <w:t xml:space="preserve">réticence </w:t>
      </w:r>
      <w:r w:rsidRPr="00695693">
        <w:rPr>
          <w:rFonts w:ascii="Times New Roman" w:hAnsi="Times New Roman" w:cs="Times New Roman"/>
          <w:sz w:val="24"/>
          <w:szCs w:val="24"/>
        </w:rPr>
        <w:t xml:space="preserve">peut aussi s’étendre aux arrêts </w:t>
      </w:r>
      <w:r w:rsidR="001572DE" w:rsidRPr="00695693">
        <w:rPr>
          <w:rFonts w:ascii="Times New Roman" w:hAnsi="Times New Roman" w:cs="Times New Roman"/>
          <w:sz w:val="24"/>
          <w:szCs w:val="24"/>
        </w:rPr>
        <w:t>en appréciation</w:t>
      </w:r>
      <w:r w:rsidRPr="00695693">
        <w:rPr>
          <w:rFonts w:ascii="Times New Roman" w:hAnsi="Times New Roman" w:cs="Times New Roman"/>
          <w:sz w:val="24"/>
          <w:szCs w:val="24"/>
        </w:rPr>
        <w:t xml:space="preserve"> de </w:t>
      </w:r>
      <w:r w:rsidR="001572DE" w:rsidRPr="00695693">
        <w:rPr>
          <w:rFonts w:ascii="Times New Roman" w:hAnsi="Times New Roman" w:cs="Times New Roman"/>
          <w:sz w:val="24"/>
          <w:szCs w:val="24"/>
        </w:rPr>
        <w:t xml:space="preserve">la </w:t>
      </w:r>
      <w:r w:rsidRPr="00695693">
        <w:rPr>
          <w:rFonts w:ascii="Times New Roman" w:hAnsi="Times New Roman" w:cs="Times New Roman"/>
          <w:sz w:val="24"/>
          <w:szCs w:val="24"/>
        </w:rPr>
        <w:t>validité.</w:t>
      </w:r>
    </w:p>
    <w:p w:rsidR="00694424" w:rsidRPr="00362E82" w:rsidRDefault="00694424" w:rsidP="0037430F">
      <w:pPr>
        <w:pStyle w:val="Titre5"/>
      </w:pPr>
      <w:bookmarkStart w:id="76" w:name="_Toc518672817"/>
      <w:r w:rsidRPr="00362E82">
        <w:t>B. La réticence vis-à-vis de l’autorité des arrêts en appréciation</w:t>
      </w:r>
      <w:r w:rsidR="007678E1" w:rsidRPr="00362E82">
        <w:t xml:space="preserve"> de la validité</w:t>
      </w:r>
      <w:bookmarkEnd w:id="76"/>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En principe, l’appr</w:t>
      </w:r>
      <w:r w:rsidR="00862FAE" w:rsidRPr="00695693">
        <w:rPr>
          <w:rFonts w:ascii="Times New Roman" w:hAnsi="Times New Roman" w:cs="Times New Roman"/>
          <w:sz w:val="24"/>
          <w:szCs w:val="24"/>
        </w:rPr>
        <w:t>éciation donnée par la Cour de j</w:t>
      </w:r>
      <w:r w:rsidRPr="00695693">
        <w:rPr>
          <w:rFonts w:ascii="Times New Roman" w:hAnsi="Times New Roman" w:cs="Times New Roman"/>
          <w:sz w:val="24"/>
          <w:szCs w:val="24"/>
        </w:rPr>
        <w:t xml:space="preserve">ustice </w:t>
      </w:r>
      <w:r w:rsidR="007D28AE" w:rsidRPr="00695693">
        <w:rPr>
          <w:rFonts w:ascii="Times New Roman" w:hAnsi="Times New Roman" w:cs="Times New Roman"/>
          <w:sz w:val="24"/>
          <w:szCs w:val="24"/>
        </w:rPr>
        <w:t xml:space="preserve">sur la validité d’une norme communautaire </w:t>
      </w:r>
      <w:r w:rsidRPr="00695693">
        <w:rPr>
          <w:rFonts w:ascii="Times New Roman" w:hAnsi="Times New Roman" w:cs="Times New Roman"/>
          <w:sz w:val="24"/>
          <w:szCs w:val="24"/>
        </w:rPr>
        <w:t xml:space="preserve">lie le juge national auteur de la question. Elle s’impose aussi aux autres </w:t>
      </w:r>
      <w:r w:rsidRPr="00695693">
        <w:rPr>
          <w:rFonts w:ascii="Times New Roman" w:hAnsi="Times New Roman" w:cs="Times New Roman"/>
          <w:sz w:val="24"/>
          <w:szCs w:val="24"/>
        </w:rPr>
        <w:lastRenderedPageBreak/>
        <w:t>instances nationales qui se trouveront dans la même situati</w:t>
      </w:r>
      <w:r w:rsidR="007D28AE" w:rsidRPr="00695693">
        <w:rPr>
          <w:rFonts w:ascii="Times New Roman" w:hAnsi="Times New Roman" w:cs="Times New Roman"/>
          <w:sz w:val="24"/>
          <w:szCs w:val="24"/>
        </w:rPr>
        <w:t xml:space="preserve">on. Toutefois, si la doctrine </w:t>
      </w:r>
      <w:r w:rsidRPr="00695693">
        <w:rPr>
          <w:rFonts w:ascii="Times New Roman" w:hAnsi="Times New Roman" w:cs="Times New Roman"/>
          <w:sz w:val="24"/>
          <w:szCs w:val="24"/>
        </w:rPr>
        <w:t>est partagée quant au caractère de l’arrêt appréciatif</w:t>
      </w:r>
      <w:r w:rsidRPr="00695693">
        <w:rPr>
          <w:rStyle w:val="Appelnotedebasdep"/>
          <w:rFonts w:ascii="Times New Roman" w:hAnsi="Times New Roman" w:cs="Times New Roman"/>
          <w:sz w:val="24"/>
          <w:szCs w:val="24"/>
        </w:rPr>
        <w:footnoteReference w:id="264"/>
      </w:r>
      <w:r w:rsidRPr="00695693">
        <w:rPr>
          <w:rFonts w:ascii="Times New Roman" w:hAnsi="Times New Roman" w:cs="Times New Roman"/>
          <w:sz w:val="24"/>
          <w:szCs w:val="24"/>
        </w:rPr>
        <w:t xml:space="preserve">, selon qu’il infirme ou confirme la validité de l’acte communautaire en cause, la jurisprudence s’est contentée de poser le principe de </w:t>
      </w:r>
      <w:r w:rsidR="007D28AE" w:rsidRPr="00695693">
        <w:rPr>
          <w:rFonts w:ascii="Times New Roman" w:hAnsi="Times New Roman" w:cs="Times New Roman"/>
          <w:sz w:val="24"/>
          <w:szCs w:val="24"/>
        </w:rPr>
        <w:t>l’autorité absolue des</w:t>
      </w:r>
      <w:r w:rsidRPr="00695693">
        <w:rPr>
          <w:rFonts w:ascii="Times New Roman" w:hAnsi="Times New Roman" w:cs="Times New Roman"/>
          <w:sz w:val="24"/>
          <w:szCs w:val="24"/>
        </w:rPr>
        <w:t xml:space="preserve"> arrêts d’invalidité. Dans son ar</w:t>
      </w:r>
      <w:r w:rsidR="00862FAE" w:rsidRPr="00695693">
        <w:rPr>
          <w:rFonts w:ascii="Times New Roman" w:hAnsi="Times New Roman" w:cs="Times New Roman"/>
          <w:sz w:val="24"/>
          <w:szCs w:val="24"/>
        </w:rPr>
        <w:t>rêt du 13 mai 1981, la Cour de j</w:t>
      </w:r>
      <w:r w:rsidRPr="00695693">
        <w:rPr>
          <w:rFonts w:ascii="Times New Roman" w:hAnsi="Times New Roman" w:cs="Times New Roman"/>
          <w:sz w:val="24"/>
          <w:szCs w:val="24"/>
        </w:rPr>
        <w:t>ustice statue qu’un arrêt constatant l’invalidité d’un acte d’une institution « </w:t>
      </w:r>
      <w:r w:rsidRPr="00695693">
        <w:rPr>
          <w:rFonts w:ascii="Times New Roman" w:hAnsi="Times New Roman" w:cs="Times New Roman"/>
          <w:i/>
          <w:sz w:val="24"/>
          <w:szCs w:val="24"/>
        </w:rPr>
        <w:t>bien qu’il ne soit adressé directement qu’au juge qui a saisi la cour, constitue une raison suffisante pour tout autre juge de considérer cet acte comme non valide pour les besoins d’une décision qu’il doit rendre</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265"/>
      </w:r>
      <w:r w:rsidRPr="00695693">
        <w:rPr>
          <w:rFonts w:ascii="Times New Roman" w:hAnsi="Times New Roman" w:cs="Times New Roman"/>
          <w:sz w:val="24"/>
          <w:szCs w:val="24"/>
        </w:rPr>
        <w:t>.</w:t>
      </w:r>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Dans l’un comme dans l’autre cas, on voit bien qu</w:t>
      </w:r>
      <w:r w:rsidR="00862FAE" w:rsidRPr="00695693">
        <w:rPr>
          <w:rFonts w:ascii="Times New Roman" w:hAnsi="Times New Roman" w:cs="Times New Roman"/>
          <w:sz w:val="24"/>
          <w:szCs w:val="24"/>
        </w:rPr>
        <w:t>e l’arrêt rendu par la Cour de j</w:t>
      </w:r>
      <w:r w:rsidRPr="00695693">
        <w:rPr>
          <w:rFonts w:ascii="Times New Roman" w:hAnsi="Times New Roman" w:cs="Times New Roman"/>
          <w:sz w:val="24"/>
          <w:szCs w:val="24"/>
        </w:rPr>
        <w:t>ustice à la suite d’une question d’appréciation de validité s’impose à l’organe national, auteur de la question et même aux autres organes nationaux qui se trouveront dans une situation identique. Le juge de renvoi est alors tenu de respecter l’arrêt en question, notamment en le prenant en compte pour la suite du procès ouvert devant lui</w:t>
      </w:r>
      <w:r w:rsidRPr="00695693">
        <w:rPr>
          <w:rStyle w:val="Appelnotedebasdep"/>
          <w:rFonts w:ascii="Times New Roman" w:hAnsi="Times New Roman" w:cs="Times New Roman"/>
          <w:sz w:val="24"/>
          <w:szCs w:val="24"/>
        </w:rPr>
        <w:footnoteReference w:id="266"/>
      </w:r>
      <w:r w:rsidR="00590FAB">
        <w:rPr>
          <w:rFonts w:ascii="Times New Roman" w:hAnsi="Times New Roman" w:cs="Times New Roman"/>
          <w:sz w:val="24"/>
          <w:szCs w:val="24"/>
        </w:rPr>
        <w:t xml:space="preserve">. </w:t>
      </w:r>
      <w:r w:rsidRPr="00695693">
        <w:rPr>
          <w:rFonts w:ascii="Times New Roman" w:hAnsi="Times New Roman" w:cs="Times New Roman"/>
          <w:sz w:val="24"/>
          <w:szCs w:val="24"/>
        </w:rPr>
        <w:t xml:space="preserve">Cependant, l’arrêt de la Cour peut se voir </w:t>
      </w:r>
      <w:r w:rsidR="00063615" w:rsidRPr="00695693">
        <w:rPr>
          <w:rFonts w:ascii="Times New Roman" w:hAnsi="Times New Roman" w:cs="Times New Roman"/>
          <w:sz w:val="24"/>
          <w:szCs w:val="24"/>
        </w:rPr>
        <w:t xml:space="preserve">négliger </w:t>
      </w:r>
      <w:r w:rsidRPr="00695693">
        <w:rPr>
          <w:rFonts w:ascii="Times New Roman" w:hAnsi="Times New Roman" w:cs="Times New Roman"/>
          <w:sz w:val="24"/>
          <w:szCs w:val="24"/>
        </w:rPr>
        <w:t>par le juge national pour la suite du règlement du litige</w:t>
      </w:r>
      <w:r w:rsidR="00063615" w:rsidRPr="00695693">
        <w:rPr>
          <w:rFonts w:ascii="Times New Roman" w:hAnsi="Times New Roman" w:cs="Times New Roman"/>
          <w:sz w:val="24"/>
          <w:szCs w:val="24"/>
        </w:rPr>
        <w:t xml:space="preserve"> au principal</w:t>
      </w:r>
      <w:r w:rsidRPr="00695693">
        <w:rPr>
          <w:rFonts w:ascii="Times New Roman" w:hAnsi="Times New Roman" w:cs="Times New Roman"/>
          <w:sz w:val="24"/>
          <w:szCs w:val="24"/>
        </w:rPr>
        <w:t>. C’est ainsi qu’on parle des réticences vis-à-vis de l’arrêt appréciatif de la Cour, voire de sa remise en cause par le juge national. Cette remise en cause de l’arrêt de la Cour est perce</w:t>
      </w:r>
      <w:r w:rsidR="0068030A">
        <w:rPr>
          <w:rFonts w:ascii="Times New Roman" w:hAnsi="Times New Roman" w:cs="Times New Roman"/>
          <w:sz w:val="24"/>
          <w:szCs w:val="24"/>
        </w:rPr>
        <w:t xml:space="preserve">ptible </w:t>
      </w:r>
      <w:r w:rsidRPr="00695693">
        <w:rPr>
          <w:rFonts w:ascii="Times New Roman" w:hAnsi="Times New Roman" w:cs="Times New Roman"/>
          <w:sz w:val="24"/>
          <w:szCs w:val="24"/>
        </w:rPr>
        <w:t xml:space="preserve">tant dans l’hypothèse où le juge de renvoi n’est pas satisfait de la réponse de la Cour, que dans celle où il décide de réinterroger la Cour. </w:t>
      </w:r>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Dans la première hypothèse, l’arrêt de la Cour est remis en cause parce qu’il n’a pas été pris en considération pour la suite de la résolution du litige national. Il en sera ainsi dès que le juge à l’origine de la question estime que le juge communautaire a statué </w:t>
      </w:r>
      <w:r w:rsidRPr="00695693">
        <w:rPr>
          <w:rFonts w:ascii="Times New Roman" w:hAnsi="Times New Roman" w:cs="Times New Roman"/>
          <w:i/>
          <w:sz w:val="24"/>
          <w:szCs w:val="24"/>
        </w:rPr>
        <w:t>ultra petita</w:t>
      </w:r>
      <w:r w:rsidRPr="00695693">
        <w:rPr>
          <w:rStyle w:val="Appelnotedebasdep"/>
          <w:rFonts w:ascii="Times New Roman" w:hAnsi="Times New Roman" w:cs="Times New Roman"/>
          <w:sz w:val="24"/>
          <w:szCs w:val="24"/>
        </w:rPr>
        <w:footnoteReference w:id="267"/>
      </w:r>
      <w:r w:rsidR="00355196">
        <w:rPr>
          <w:rFonts w:ascii="Times New Roman" w:hAnsi="Times New Roman" w:cs="Times New Roman"/>
          <w:sz w:val="24"/>
          <w:szCs w:val="24"/>
        </w:rPr>
        <w:t xml:space="preserve"> ou encore </w:t>
      </w:r>
      <w:r w:rsidR="00355196">
        <w:rPr>
          <w:rFonts w:ascii="Times New Roman" w:hAnsi="Times New Roman" w:cs="Times New Roman"/>
          <w:sz w:val="24"/>
          <w:szCs w:val="24"/>
        </w:rPr>
        <w:lastRenderedPageBreak/>
        <w:t>dans l’hypothèse où pourraient subsister des incertitudes « </w:t>
      </w:r>
      <w:r w:rsidR="00355196" w:rsidRPr="00355196">
        <w:rPr>
          <w:rFonts w:ascii="Times New Roman" w:hAnsi="Times New Roman" w:cs="Times New Roman"/>
          <w:i/>
          <w:sz w:val="24"/>
          <w:szCs w:val="24"/>
        </w:rPr>
        <w:t>relatives aux motifs à l’étendue et éventuellement aux conséquences de l’invalidité précédemment établie</w:t>
      </w:r>
      <w:r w:rsidR="00355196">
        <w:rPr>
          <w:rFonts w:ascii="Times New Roman" w:hAnsi="Times New Roman" w:cs="Times New Roman"/>
          <w:sz w:val="24"/>
          <w:szCs w:val="24"/>
        </w:rPr>
        <w:t> »</w:t>
      </w:r>
      <w:r w:rsidR="00355196">
        <w:rPr>
          <w:rStyle w:val="Appelnotedebasdep"/>
          <w:rFonts w:ascii="Times New Roman" w:hAnsi="Times New Roman" w:cs="Times New Roman"/>
          <w:sz w:val="24"/>
          <w:szCs w:val="24"/>
        </w:rPr>
        <w:footnoteReference w:id="268"/>
      </w:r>
      <w:r w:rsidR="00DB1866">
        <w:rPr>
          <w:rFonts w:ascii="Times New Roman" w:hAnsi="Times New Roman" w:cs="Times New Roman"/>
          <w:sz w:val="24"/>
          <w:szCs w:val="24"/>
        </w:rPr>
        <w:t>.</w:t>
      </w:r>
      <w:r w:rsidRPr="00695693">
        <w:rPr>
          <w:rFonts w:ascii="Times New Roman" w:hAnsi="Times New Roman" w:cs="Times New Roman"/>
          <w:sz w:val="24"/>
          <w:szCs w:val="24"/>
        </w:rPr>
        <w:t xml:space="preserve"> C’est pourquoi,  contrairement à la doctrine, il aurait été préférable de reconnaitre un effet </w:t>
      </w:r>
      <w:r w:rsidRPr="00695693">
        <w:rPr>
          <w:rFonts w:ascii="Times New Roman" w:hAnsi="Times New Roman" w:cs="Times New Roman"/>
          <w:i/>
          <w:sz w:val="24"/>
          <w:szCs w:val="24"/>
        </w:rPr>
        <w:t>ergaomnes</w:t>
      </w:r>
      <w:r w:rsidRPr="00695693">
        <w:rPr>
          <w:rFonts w:ascii="Times New Roman" w:hAnsi="Times New Roman" w:cs="Times New Roman"/>
          <w:sz w:val="24"/>
          <w:szCs w:val="24"/>
        </w:rPr>
        <w:t>aux arrêts appréciatifs de validité, permettant aux juges nationaux « </w:t>
      </w:r>
      <w:r w:rsidRPr="00695693">
        <w:rPr>
          <w:rFonts w:ascii="Times New Roman" w:hAnsi="Times New Roman" w:cs="Times New Roman"/>
          <w:i/>
          <w:sz w:val="24"/>
          <w:szCs w:val="24"/>
        </w:rPr>
        <w:t>l’unique possibilitéd’appliquer … l’arrêt rendu</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269"/>
      </w:r>
      <w:r w:rsidRPr="00695693">
        <w:rPr>
          <w:rFonts w:ascii="Times New Roman" w:hAnsi="Times New Roman" w:cs="Times New Roman"/>
          <w:sz w:val="24"/>
          <w:szCs w:val="24"/>
        </w:rPr>
        <w:t>.</w:t>
      </w:r>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Dans la seconde hypothèse, l’autorité de l’arrêt est mise à mal dès que le juge de renvoi </w:t>
      </w:r>
      <w:r w:rsidR="007D28AE" w:rsidRPr="00695693">
        <w:rPr>
          <w:rFonts w:ascii="Times New Roman" w:hAnsi="Times New Roman" w:cs="Times New Roman"/>
          <w:sz w:val="24"/>
          <w:szCs w:val="24"/>
        </w:rPr>
        <w:t xml:space="preserve">se heurte à des difficultés de </w:t>
      </w:r>
      <w:r w:rsidRPr="00695693">
        <w:rPr>
          <w:rFonts w:ascii="Times New Roman" w:hAnsi="Times New Roman" w:cs="Times New Roman"/>
          <w:sz w:val="24"/>
          <w:szCs w:val="24"/>
        </w:rPr>
        <w:t>compréhension. Pour pallier cette situation, il aurait été préférable pour le juge de renvoi de réinterr</w:t>
      </w:r>
      <w:r w:rsidR="00CB5DF6" w:rsidRPr="00695693">
        <w:rPr>
          <w:rFonts w:ascii="Times New Roman" w:hAnsi="Times New Roman" w:cs="Times New Roman"/>
          <w:sz w:val="24"/>
          <w:szCs w:val="24"/>
        </w:rPr>
        <w:t>oger la Cour. Toutefois, l’utilisation</w:t>
      </w:r>
      <w:r w:rsidRPr="00695693">
        <w:rPr>
          <w:rFonts w:ascii="Times New Roman" w:hAnsi="Times New Roman" w:cs="Times New Roman"/>
          <w:sz w:val="24"/>
          <w:szCs w:val="24"/>
        </w:rPr>
        <w:t xml:space="preserve"> de cette faculté </w:t>
      </w:r>
      <w:r w:rsidR="007D28AE" w:rsidRPr="00695693">
        <w:rPr>
          <w:rFonts w:ascii="Times New Roman" w:hAnsi="Times New Roman" w:cs="Times New Roman"/>
          <w:sz w:val="24"/>
          <w:szCs w:val="24"/>
        </w:rPr>
        <w:t xml:space="preserve">ne peut être hasardeuse </w:t>
      </w:r>
      <w:r w:rsidRPr="00695693">
        <w:rPr>
          <w:rFonts w:ascii="Times New Roman" w:hAnsi="Times New Roman" w:cs="Times New Roman"/>
          <w:sz w:val="24"/>
          <w:szCs w:val="24"/>
        </w:rPr>
        <w:t xml:space="preserve">puisque la Cour exigera des éléments nouveaux, sans quoi elle ne saurait  revenir sur </w:t>
      </w:r>
      <w:r w:rsidR="007D28AE" w:rsidRPr="00695693">
        <w:rPr>
          <w:rFonts w:ascii="Times New Roman" w:hAnsi="Times New Roman" w:cs="Times New Roman"/>
          <w:sz w:val="24"/>
          <w:szCs w:val="24"/>
        </w:rPr>
        <w:t>une</w:t>
      </w:r>
      <w:r w:rsidRPr="00695693">
        <w:rPr>
          <w:rFonts w:ascii="Times New Roman" w:hAnsi="Times New Roman" w:cs="Times New Roman"/>
          <w:sz w:val="24"/>
          <w:szCs w:val="24"/>
        </w:rPr>
        <w:t xml:space="preserve"> question de validité déjà tranchée</w:t>
      </w:r>
      <w:r w:rsidRPr="00695693">
        <w:rPr>
          <w:rStyle w:val="Appelnotedebasdep"/>
          <w:rFonts w:ascii="Times New Roman" w:hAnsi="Times New Roman" w:cs="Times New Roman"/>
          <w:sz w:val="24"/>
          <w:szCs w:val="24"/>
        </w:rPr>
        <w:footnoteReference w:id="270"/>
      </w:r>
      <w:r w:rsidR="006D1C8C" w:rsidRPr="00695693">
        <w:rPr>
          <w:rFonts w:ascii="Times New Roman" w:hAnsi="Times New Roman" w:cs="Times New Roman"/>
          <w:sz w:val="24"/>
          <w:szCs w:val="24"/>
        </w:rPr>
        <w:t>.</w:t>
      </w:r>
      <w:r w:rsidR="00CB5DF6" w:rsidRPr="00695693">
        <w:rPr>
          <w:rFonts w:ascii="Times New Roman" w:hAnsi="Times New Roman" w:cs="Times New Roman"/>
          <w:sz w:val="24"/>
          <w:szCs w:val="24"/>
        </w:rPr>
        <w:t>Dans tout le cas</w:t>
      </w:r>
      <w:r w:rsidRPr="00695693">
        <w:rPr>
          <w:rFonts w:ascii="Times New Roman" w:hAnsi="Times New Roman" w:cs="Times New Roman"/>
          <w:sz w:val="24"/>
          <w:szCs w:val="24"/>
        </w:rPr>
        <w:t xml:space="preserve">, </w:t>
      </w:r>
      <w:r w:rsidR="00CB5DF6" w:rsidRPr="00695693">
        <w:rPr>
          <w:rFonts w:ascii="Times New Roman" w:hAnsi="Times New Roman" w:cs="Times New Roman"/>
          <w:sz w:val="24"/>
          <w:szCs w:val="24"/>
        </w:rPr>
        <w:t xml:space="preserve">il est à noter </w:t>
      </w:r>
      <w:r w:rsidRPr="00695693">
        <w:rPr>
          <w:rFonts w:ascii="Times New Roman" w:hAnsi="Times New Roman" w:cs="Times New Roman"/>
          <w:sz w:val="24"/>
          <w:szCs w:val="24"/>
        </w:rPr>
        <w:t xml:space="preserve">que </w:t>
      </w:r>
      <w:r w:rsidR="00CB5DF6" w:rsidRPr="00695693">
        <w:rPr>
          <w:rFonts w:ascii="Times New Roman" w:hAnsi="Times New Roman" w:cs="Times New Roman"/>
          <w:sz w:val="24"/>
          <w:szCs w:val="24"/>
        </w:rPr>
        <w:t xml:space="preserve">toutes </w:t>
      </w:r>
      <w:r w:rsidRPr="00695693">
        <w:rPr>
          <w:rFonts w:ascii="Times New Roman" w:hAnsi="Times New Roman" w:cs="Times New Roman"/>
          <w:sz w:val="24"/>
          <w:szCs w:val="24"/>
        </w:rPr>
        <w:t xml:space="preserve">les difficultés décrites ci-dessus sont de nature à entacher l’effectivité du recours préjudiciel. Toutefois, à côté de ces difficultés </w:t>
      </w:r>
      <w:r w:rsidR="003F1D8D" w:rsidRPr="00695693">
        <w:rPr>
          <w:rFonts w:ascii="Times New Roman" w:hAnsi="Times New Roman" w:cs="Times New Roman"/>
          <w:sz w:val="24"/>
          <w:szCs w:val="24"/>
        </w:rPr>
        <w:t>l</w:t>
      </w:r>
      <w:r w:rsidR="00651618" w:rsidRPr="00695693">
        <w:rPr>
          <w:rFonts w:ascii="Times New Roman" w:hAnsi="Times New Roman" w:cs="Times New Roman"/>
          <w:sz w:val="24"/>
          <w:szCs w:val="24"/>
        </w:rPr>
        <w:t xml:space="preserve">iées à la juridiction nationale, </w:t>
      </w:r>
      <w:r w:rsidRPr="00695693">
        <w:rPr>
          <w:rFonts w:ascii="Times New Roman" w:hAnsi="Times New Roman" w:cs="Times New Roman"/>
          <w:sz w:val="24"/>
          <w:szCs w:val="24"/>
        </w:rPr>
        <w:t xml:space="preserve">existent celles liées à la juridiction communautaire. </w:t>
      </w:r>
    </w:p>
    <w:p w:rsidR="00954453" w:rsidRDefault="00694424" w:rsidP="007A4443">
      <w:pPr>
        <w:pStyle w:val="Titre3"/>
      </w:pPr>
      <w:bookmarkStart w:id="77" w:name="_Toc515108233"/>
      <w:bookmarkStart w:id="78" w:name="_Toc518671714"/>
      <w:bookmarkStart w:id="79" w:name="_Toc518672818"/>
      <w:r w:rsidRPr="00695693">
        <w:t>SECTION</w:t>
      </w:r>
      <w:r w:rsidR="00BC4F8D" w:rsidRPr="00695693">
        <w:t xml:space="preserve"> II</w:t>
      </w:r>
      <w:r w:rsidRPr="00695693">
        <w:t> : LES DIFFICULTES LIEES A LA JURIDICTION COMMUNAUTAIRE</w:t>
      </w:r>
      <w:bookmarkEnd w:id="77"/>
      <w:bookmarkEnd w:id="78"/>
      <w:bookmarkEnd w:id="79"/>
    </w:p>
    <w:p w:rsidR="00954453" w:rsidRPr="00636E02" w:rsidRDefault="00636E02" w:rsidP="009F25BA">
      <w:pPr>
        <w:spacing w:line="360" w:lineRule="auto"/>
        <w:jc w:val="both"/>
        <w:rPr>
          <w:rFonts w:ascii="Times New Roman" w:hAnsi="Times New Roman" w:cs="Times New Roman"/>
          <w:sz w:val="24"/>
          <w:szCs w:val="24"/>
        </w:rPr>
      </w:pPr>
      <w:r w:rsidRPr="00636E02">
        <w:rPr>
          <w:rFonts w:ascii="Times New Roman" w:hAnsi="Times New Roman" w:cs="Times New Roman"/>
          <w:sz w:val="24"/>
          <w:szCs w:val="24"/>
        </w:rPr>
        <w:t xml:space="preserve">       Ces difficultés peuvent être qualifiées comme les différents obstacles procéduraux rencontrés par le juge communautaire pendant l’exercice de sa compétence préjudicielle. Elles sont nombreuses, et si certaines émanent de la volonté du juge communautaire lui-même </w:t>
      </w:r>
      <w:r w:rsidRPr="00636E02">
        <w:rPr>
          <w:rFonts w:ascii="Times New Roman" w:hAnsi="Times New Roman" w:cs="Times New Roman"/>
          <w:b/>
          <w:sz w:val="24"/>
          <w:szCs w:val="24"/>
        </w:rPr>
        <w:t>(§ 2)</w:t>
      </w:r>
      <w:r w:rsidRPr="00636E02">
        <w:rPr>
          <w:rFonts w:ascii="Times New Roman" w:hAnsi="Times New Roman" w:cs="Times New Roman"/>
          <w:sz w:val="24"/>
          <w:szCs w:val="24"/>
        </w:rPr>
        <w:t xml:space="preserve">, d’autres sont dues à la volonté de la juridiction de renvoi </w:t>
      </w:r>
      <w:r w:rsidRPr="00636E02">
        <w:rPr>
          <w:rFonts w:ascii="Times New Roman" w:hAnsi="Times New Roman" w:cs="Times New Roman"/>
          <w:b/>
          <w:sz w:val="24"/>
          <w:szCs w:val="24"/>
        </w:rPr>
        <w:t>(§ 1)</w:t>
      </w:r>
      <w:r w:rsidRPr="00636E02">
        <w:rPr>
          <w:rFonts w:ascii="Times New Roman" w:hAnsi="Times New Roman" w:cs="Times New Roman"/>
          <w:sz w:val="24"/>
          <w:szCs w:val="24"/>
        </w:rPr>
        <w:t>.</w:t>
      </w:r>
    </w:p>
    <w:p w:rsidR="00694424" w:rsidRDefault="00BC4F8D" w:rsidP="002F7CA3">
      <w:pPr>
        <w:pStyle w:val="Titre4"/>
      </w:pPr>
      <w:bookmarkStart w:id="80" w:name="_Toc518672819"/>
      <w:r w:rsidRPr="00362E82">
        <w:t>§ 1</w:t>
      </w:r>
      <w:r w:rsidR="00694424" w:rsidRPr="00362E82">
        <w:t xml:space="preserve"> : Les difficultés </w:t>
      </w:r>
      <w:r w:rsidR="00FF1B69">
        <w:t>tenant à la volonté de la juridiction de renvoi</w:t>
      </w:r>
      <w:bookmarkEnd w:id="80"/>
    </w:p>
    <w:p w:rsidR="00FD7BF3" w:rsidRDefault="00FD7BF3" w:rsidP="009F25BA">
      <w:pPr>
        <w:spacing w:line="360" w:lineRule="auto"/>
        <w:jc w:val="both"/>
        <w:rPr>
          <w:rFonts w:ascii="Times New Roman" w:hAnsi="Times New Roman" w:cs="Times New Roman"/>
          <w:sz w:val="24"/>
          <w:szCs w:val="24"/>
        </w:rPr>
      </w:pPr>
      <w:r w:rsidRPr="00FD7BF3">
        <w:rPr>
          <w:rFonts w:ascii="Times New Roman" w:hAnsi="Times New Roman" w:cs="Times New Roman"/>
          <w:sz w:val="24"/>
          <w:szCs w:val="24"/>
        </w:rPr>
        <w:t xml:space="preserve">        Elles se résument pour l’essentiel au retrait tardif de la demande préjudicielle par la juridiction de renvoi </w:t>
      </w:r>
      <w:r w:rsidRPr="00FD7BF3">
        <w:rPr>
          <w:rFonts w:ascii="Times New Roman" w:hAnsi="Times New Roman" w:cs="Times New Roman"/>
          <w:b/>
          <w:sz w:val="24"/>
          <w:szCs w:val="24"/>
        </w:rPr>
        <w:t>(A)</w:t>
      </w:r>
      <w:r w:rsidRPr="00FD7BF3">
        <w:rPr>
          <w:rFonts w:ascii="Times New Roman" w:hAnsi="Times New Roman" w:cs="Times New Roman"/>
          <w:sz w:val="24"/>
          <w:szCs w:val="24"/>
        </w:rPr>
        <w:t xml:space="preserve">. Un tel retrait n’est pas sans incidence dans le cadre du recours préjudiciel </w:t>
      </w:r>
      <w:r w:rsidRPr="00FD7BF3">
        <w:rPr>
          <w:rFonts w:ascii="Times New Roman" w:hAnsi="Times New Roman" w:cs="Times New Roman"/>
          <w:b/>
          <w:sz w:val="24"/>
          <w:szCs w:val="24"/>
        </w:rPr>
        <w:t>(B)</w:t>
      </w:r>
      <w:r w:rsidRPr="00FD7BF3">
        <w:rPr>
          <w:rFonts w:ascii="Times New Roman" w:hAnsi="Times New Roman" w:cs="Times New Roman"/>
          <w:sz w:val="24"/>
          <w:szCs w:val="24"/>
        </w:rPr>
        <w:t>.</w:t>
      </w:r>
    </w:p>
    <w:p w:rsidR="003113B3" w:rsidRPr="004E2F98" w:rsidRDefault="003113B3" w:rsidP="005D5089">
      <w:pPr>
        <w:pStyle w:val="Titre5"/>
      </w:pPr>
      <w:bookmarkStart w:id="81" w:name="_Toc518672820"/>
      <w:r w:rsidRPr="004E2F98">
        <w:t>A. Le retrait tardif de la demande préjudicielle</w:t>
      </w:r>
      <w:bookmarkEnd w:id="81"/>
    </w:p>
    <w:p w:rsidR="00FF4EDF" w:rsidRDefault="00FF4EDF" w:rsidP="009F25BA">
      <w:pPr>
        <w:spacing w:line="360" w:lineRule="auto"/>
        <w:jc w:val="both"/>
        <w:rPr>
          <w:rFonts w:ascii="Times New Roman" w:hAnsi="Times New Roman" w:cs="Times New Roman"/>
          <w:sz w:val="24"/>
          <w:szCs w:val="24"/>
        </w:rPr>
      </w:pPr>
      <w:r w:rsidRPr="00FF4EDF">
        <w:rPr>
          <w:rFonts w:ascii="Times New Roman" w:hAnsi="Times New Roman" w:cs="Times New Roman"/>
          <w:sz w:val="24"/>
          <w:szCs w:val="24"/>
        </w:rPr>
        <w:t>L</w:t>
      </w:r>
      <w:r>
        <w:rPr>
          <w:rFonts w:ascii="Times New Roman" w:hAnsi="Times New Roman" w:cs="Times New Roman"/>
          <w:sz w:val="24"/>
          <w:szCs w:val="24"/>
        </w:rPr>
        <w:t xml:space="preserve">e retrait tardif d’une demande préjudicielle, également appelé dessaisissement tardif, signifie le fait pour une juridiction de renvoi de dessaisir tardivement la Cour de justice </w:t>
      </w:r>
      <w:r>
        <w:rPr>
          <w:rFonts w:ascii="Times New Roman" w:hAnsi="Times New Roman" w:cs="Times New Roman"/>
          <w:sz w:val="24"/>
          <w:szCs w:val="24"/>
        </w:rPr>
        <w:lastRenderedPageBreak/>
        <w:t>communautaire en retirant sa demande préjudicielle.</w:t>
      </w:r>
      <w:r w:rsidR="005250E6">
        <w:rPr>
          <w:rFonts w:ascii="Times New Roman" w:hAnsi="Times New Roman" w:cs="Times New Roman"/>
          <w:sz w:val="24"/>
          <w:szCs w:val="24"/>
        </w:rPr>
        <w:t xml:space="preserve"> Cette situation </w:t>
      </w:r>
      <w:r w:rsidR="00A37D6D">
        <w:rPr>
          <w:rFonts w:ascii="Times New Roman" w:hAnsi="Times New Roman" w:cs="Times New Roman"/>
          <w:sz w:val="24"/>
          <w:szCs w:val="24"/>
        </w:rPr>
        <w:t xml:space="preserve">de retrait tardif </w:t>
      </w:r>
      <w:r w:rsidR="004F40AF">
        <w:rPr>
          <w:rFonts w:ascii="Times New Roman" w:hAnsi="Times New Roman" w:cs="Times New Roman"/>
          <w:sz w:val="24"/>
          <w:szCs w:val="24"/>
        </w:rPr>
        <w:t xml:space="preserve">en matière préjudicielle </w:t>
      </w:r>
      <w:r w:rsidR="005250E6">
        <w:rPr>
          <w:rFonts w:ascii="Times New Roman" w:hAnsi="Times New Roman" w:cs="Times New Roman"/>
          <w:sz w:val="24"/>
          <w:szCs w:val="24"/>
        </w:rPr>
        <w:t xml:space="preserve">est intéressante dans la jurisprudence de la Cour de justice de l’Union européenne, notamment dans l’arrêt </w:t>
      </w:r>
      <w:r w:rsidR="005250E6" w:rsidRPr="005250E6">
        <w:rPr>
          <w:rFonts w:ascii="Times New Roman" w:hAnsi="Times New Roman" w:cs="Times New Roman"/>
          <w:i/>
          <w:sz w:val="24"/>
          <w:szCs w:val="24"/>
        </w:rPr>
        <w:t>Kramme</w:t>
      </w:r>
      <w:r w:rsidR="007A3B9F">
        <w:rPr>
          <w:rFonts w:ascii="Times New Roman" w:hAnsi="Times New Roman" w:cs="Times New Roman"/>
          <w:sz w:val="24"/>
          <w:szCs w:val="24"/>
        </w:rPr>
        <w:t>du 28 f</w:t>
      </w:r>
      <w:r w:rsidR="005250E6">
        <w:rPr>
          <w:rFonts w:ascii="Times New Roman" w:hAnsi="Times New Roman" w:cs="Times New Roman"/>
          <w:sz w:val="24"/>
          <w:szCs w:val="24"/>
        </w:rPr>
        <w:t>évrier 2008 où la Cour a été dessaisie de la demande préjudicielle par la juridiction nationale au stade ultime de la procédure</w:t>
      </w:r>
      <w:r w:rsidR="00BF5241">
        <w:rPr>
          <w:rFonts w:ascii="Times New Roman" w:hAnsi="Times New Roman" w:cs="Times New Roman"/>
          <w:sz w:val="24"/>
          <w:szCs w:val="24"/>
        </w:rPr>
        <w:t>,</w:t>
      </w:r>
      <w:r w:rsidR="005250E6">
        <w:rPr>
          <w:rFonts w:ascii="Times New Roman" w:hAnsi="Times New Roman" w:cs="Times New Roman"/>
          <w:sz w:val="24"/>
          <w:szCs w:val="24"/>
        </w:rPr>
        <w:t xml:space="preserve"> juste avant le prononcé de l’arrêt à la date indiquée.</w:t>
      </w:r>
      <w:r w:rsidR="007F2979">
        <w:rPr>
          <w:rFonts w:ascii="Times New Roman" w:hAnsi="Times New Roman" w:cs="Times New Roman"/>
          <w:sz w:val="24"/>
          <w:szCs w:val="24"/>
        </w:rPr>
        <w:t xml:space="preserve"> En l’espèce, M. </w:t>
      </w:r>
      <w:r w:rsidR="007F2979" w:rsidRPr="007F2979">
        <w:rPr>
          <w:rFonts w:ascii="Times New Roman" w:hAnsi="Times New Roman" w:cs="Times New Roman"/>
          <w:i/>
          <w:sz w:val="24"/>
          <w:szCs w:val="24"/>
        </w:rPr>
        <w:t>Kramme</w:t>
      </w:r>
      <w:r w:rsidR="007F2979">
        <w:rPr>
          <w:rFonts w:ascii="Times New Roman" w:hAnsi="Times New Roman" w:cs="Times New Roman"/>
          <w:i/>
          <w:sz w:val="24"/>
          <w:szCs w:val="24"/>
        </w:rPr>
        <w:t xml:space="preserve">, </w:t>
      </w:r>
      <w:r w:rsidR="007F2979" w:rsidRPr="007F2979">
        <w:rPr>
          <w:rFonts w:ascii="Times New Roman" w:hAnsi="Times New Roman" w:cs="Times New Roman"/>
          <w:sz w:val="24"/>
          <w:szCs w:val="24"/>
        </w:rPr>
        <w:t>p</w:t>
      </w:r>
      <w:r w:rsidR="008E0D62">
        <w:rPr>
          <w:rFonts w:ascii="Times New Roman" w:hAnsi="Times New Roman" w:cs="Times New Roman"/>
          <w:sz w:val="24"/>
          <w:szCs w:val="24"/>
        </w:rPr>
        <w:t>assager d’un vol d’une</w:t>
      </w:r>
      <w:r w:rsidR="007F2979">
        <w:rPr>
          <w:rFonts w:ascii="Times New Roman" w:hAnsi="Times New Roman" w:cs="Times New Roman"/>
          <w:sz w:val="24"/>
          <w:szCs w:val="24"/>
        </w:rPr>
        <w:t xml:space="preserve"> compagnie</w:t>
      </w:r>
      <w:r w:rsidR="008E0D62">
        <w:rPr>
          <w:rFonts w:ascii="Times New Roman" w:hAnsi="Times New Roman" w:cs="Times New Roman"/>
          <w:sz w:val="24"/>
          <w:szCs w:val="24"/>
        </w:rPr>
        <w:t xml:space="preserve"> danoise s’est vu son voyage annulé en raison des</w:t>
      </w:r>
      <w:r w:rsidR="008D1D4C">
        <w:rPr>
          <w:rFonts w:ascii="Times New Roman" w:hAnsi="Times New Roman" w:cs="Times New Roman"/>
          <w:sz w:val="24"/>
          <w:szCs w:val="24"/>
        </w:rPr>
        <w:t xml:space="preserve"> problèmes techniques qui ont empêché sa réalisation</w:t>
      </w:r>
      <w:r w:rsidR="008E0D62">
        <w:rPr>
          <w:rFonts w:ascii="Times New Roman" w:hAnsi="Times New Roman" w:cs="Times New Roman"/>
          <w:sz w:val="24"/>
          <w:szCs w:val="24"/>
        </w:rPr>
        <w:t>. I</w:t>
      </w:r>
      <w:r w:rsidR="008D1D4C">
        <w:rPr>
          <w:rFonts w:ascii="Times New Roman" w:hAnsi="Times New Roman" w:cs="Times New Roman"/>
          <w:sz w:val="24"/>
          <w:szCs w:val="24"/>
        </w:rPr>
        <w:t>l a adressé auprès de la compagnie aérienne une réclamation d’indemnisation qui avait été rejetée au motif qu’il existait des circonstances extraordinaires</w:t>
      </w:r>
      <w:r w:rsidR="00397344">
        <w:rPr>
          <w:rFonts w:ascii="Times New Roman" w:hAnsi="Times New Roman" w:cs="Times New Roman"/>
          <w:sz w:val="24"/>
          <w:szCs w:val="24"/>
        </w:rPr>
        <w:t>,</w:t>
      </w:r>
      <w:r w:rsidR="008D1D4C">
        <w:rPr>
          <w:rFonts w:ascii="Times New Roman" w:hAnsi="Times New Roman" w:cs="Times New Roman"/>
          <w:sz w:val="24"/>
          <w:szCs w:val="24"/>
        </w:rPr>
        <w:t xml:space="preserve"> justifiant l’annulation du vol en cause et s’opposant à toute indemnisation des passagers concernés. Soucieux de préserver son droit, M. </w:t>
      </w:r>
      <w:r w:rsidR="008D1D4C" w:rsidRPr="00BF0A21">
        <w:rPr>
          <w:rFonts w:ascii="Times New Roman" w:hAnsi="Times New Roman" w:cs="Times New Roman"/>
          <w:i/>
          <w:sz w:val="24"/>
          <w:szCs w:val="24"/>
        </w:rPr>
        <w:t>Kramme</w:t>
      </w:r>
      <w:r w:rsidR="008D1D4C">
        <w:rPr>
          <w:rFonts w:ascii="Times New Roman" w:hAnsi="Times New Roman" w:cs="Times New Roman"/>
          <w:sz w:val="24"/>
          <w:szCs w:val="24"/>
        </w:rPr>
        <w:t>, invoquant l’art. 5 du règlement (CE) n°261/2004 du parlement européen et du conseil du 11</w:t>
      </w:r>
      <w:r w:rsidR="00FE7F91">
        <w:rPr>
          <w:rFonts w:ascii="Times New Roman" w:hAnsi="Times New Roman" w:cs="Times New Roman"/>
          <w:sz w:val="24"/>
          <w:szCs w:val="24"/>
        </w:rPr>
        <w:t xml:space="preserve"> f</w:t>
      </w:r>
      <w:r w:rsidR="008D1D4C">
        <w:rPr>
          <w:rFonts w:ascii="Times New Roman" w:hAnsi="Times New Roman" w:cs="Times New Roman"/>
          <w:sz w:val="24"/>
          <w:szCs w:val="24"/>
        </w:rPr>
        <w:t>évrier 2004</w:t>
      </w:r>
      <w:r w:rsidR="00250D88">
        <w:rPr>
          <w:rStyle w:val="Appelnotedebasdep"/>
          <w:rFonts w:ascii="Times New Roman" w:hAnsi="Times New Roman" w:cs="Times New Roman"/>
          <w:sz w:val="24"/>
          <w:szCs w:val="24"/>
        </w:rPr>
        <w:footnoteReference w:id="271"/>
      </w:r>
      <w:r w:rsidR="00BF0A21">
        <w:rPr>
          <w:rFonts w:ascii="Times New Roman" w:hAnsi="Times New Roman" w:cs="Times New Roman"/>
          <w:sz w:val="24"/>
          <w:szCs w:val="24"/>
        </w:rPr>
        <w:t>,</w:t>
      </w:r>
      <w:r w:rsidR="008E0D62">
        <w:rPr>
          <w:rFonts w:ascii="Times New Roman" w:hAnsi="Times New Roman" w:cs="Times New Roman"/>
          <w:sz w:val="24"/>
          <w:szCs w:val="24"/>
        </w:rPr>
        <w:t>a saisi la juridiction danoise d’</w:t>
      </w:r>
      <w:r w:rsidR="00BF0A21">
        <w:rPr>
          <w:rFonts w:ascii="Times New Roman" w:hAnsi="Times New Roman" w:cs="Times New Roman"/>
          <w:sz w:val="24"/>
          <w:szCs w:val="24"/>
        </w:rPr>
        <w:t xml:space="preserve">une plainte tendant à son </w:t>
      </w:r>
      <w:r w:rsidR="008E0D62">
        <w:rPr>
          <w:rFonts w:ascii="Times New Roman" w:hAnsi="Times New Roman" w:cs="Times New Roman"/>
          <w:sz w:val="24"/>
          <w:szCs w:val="24"/>
        </w:rPr>
        <w:t>indemnisation</w:t>
      </w:r>
      <w:r w:rsidR="00BF0A21">
        <w:rPr>
          <w:rFonts w:ascii="Times New Roman" w:hAnsi="Times New Roman" w:cs="Times New Roman"/>
          <w:sz w:val="24"/>
          <w:szCs w:val="24"/>
        </w:rPr>
        <w:t xml:space="preserve">. Parce que l’affaire a trait à la notion des circonstances extraordinaires au sens de l’article précité, la juridiction danoise avait introduit une demande préjudicielle pour interprétation devant la Cour de justice. Au sein de cette Cour, une chambre à cinq (05) juges a été </w:t>
      </w:r>
      <w:r w:rsidR="004C547D">
        <w:rPr>
          <w:rFonts w:ascii="Times New Roman" w:hAnsi="Times New Roman" w:cs="Times New Roman"/>
          <w:sz w:val="24"/>
          <w:szCs w:val="24"/>
        </w:rPr>
        <w:t>désignée en vue du traitement de ladite affaire. La procédure s’est déroulée jusqu’à la phase du délibéré, la formation de jugement a statué sur le fond et arrêté le texte de son arrêt. Celui-ci a été transmis aux traducteurs et</w:t>
      </w:r>
      <w:r w:rsidR="00FE7F91">
        <w:rPr>
          <w:rFonts w:ascii="Times New Roman" w:hAnsi="Times New Roman" w:cs="Times New Roman"/>
          <w:sz w:val="24"/>
          <w:szCs w:val="24"/>
        </w:rPr>
        <w:t xml:space="preserve"> son prononcé a été fixé au 28 f</w:t>
      </w:r>
      <w:r w:rsidR="004C547D">
        <w:rPr>
          <w:rFonts w:ascii="Times New Roman" w:hAnsi="Times New Roman" w:cs="Times New Roman"/>
          <w:sz w:val="24"/>
          <w:szCs w:val="24"/>
        </w:rPr>
        <w:t>évrier 2008, date qui a été communiquée aux intéressés. C’est n’est qu’au stade ultime de la procédure, juste avant le prononcé de cet arrêt, que la juridiction de renvoi a informé la Cour de justice qu’elle retirait l’affaire, les parties litigeantes au principal étant parvenues à un règlement amiable</w:t>
      </w:r>
      <w:r w:rsidR="00117D11">
        <w:rPr>
          <w:rStyle w:val="Appelnotedebasdep"/>
          <w:rFonts w:ascii="Times New Roman" w:hAnsi="Times New Roman" w:cs="Times New Roman"/>
          <w:sz w:val="24"/>
          <w:szCs w:val="24"/>
        </w:rPr>
        <w:footnoteReference w:id="272"/>
      </w:r>
      <w:r w:rsidR="00CC3BD2">
        <w:rPr>
          <w:rFonts w:ascii="Times New Roman" w:hAnsi="Times New Roman" w:cs="Times New Roman"/>
          <w:sz w:val="24"/>
          <w:szCs w:val="24"/>
        </w:rPr>
        <w:t>.</w:t>
      </w:r>
    </w:p>
    <w:p w:rsidR="002C46E3" w:rsidRPr="00FF4EDF" w:rsidRDefault="002C46E3" w:rsidP="009F25BA">
      <w:pPr>
        <w:spacing w:line="360" w:lineRule="auto"/>
        <w:jc w:val="both"/>
        <w:rPr>
          <w:rFonts w:ascii="Times New Roman" w:hAnsi="Times New Roman" w:cs="Times New Roman"/>
          <w:sz w:val="24"/>
          <w:szCs w:val="24"/>
        </w:rPr>
      </w:pPr>
      <w:r>
        <w:rPr>
          <w:rFonts w:ascii="Times New Roman" w:hAnsi="Times New Roman" w:cs="Times New Roman"/>
          <w:sz w:val="24"/>
          <w:szCs w:val="24"/>
        </w:rPr>
        <w:t>Un tel retrait porte atteinte à l’effectivité du mécanisme du renvoi préjudiciel</w:t>
      </w:r>
      <w:r w:rsidR="00E507A1">
        <w:rPr>
          <w:rFonts w:ascii="Times New Roman" w:hAnsi="Times New Roman" w:cs="Times New Roman"/>
          <w:sz w:val="24"/>
          <w:szCs w:val="24"/>
        </w:rPr>
        <w:t>,</w:t>
      </w:r>
      <w:r>
        <w:rPr>
          <w:rFonts w:ascii="Times New Roman" w:hAnsi="Times New Roman" w:cs="Times New Roman"/>
          <w:sz w:val="24"/>
          <w:szCs w:val="24"/>
        </w:rPr>
        <w:t xml:space="preserve"> puisque qu’il peut laisser provoquer en filigrane la question de savoir à partir de quand la compétence de la Cour de justice pour statuer à titre préjudiciel est liée à l’affaire précise dans le cadre de laquelle la juridiction de renvoi a décidé de saisir</w:t>
      </w:r>
      <w:r w:rsidR="004520C5">
        <w:rPr>
          <w:rFonts w:ascii="Times New Roman" w:hAnsi="Times New Roman" w:cs="Times New Roman"/>
          <w:sz w:val="24"/>
          <w:szCs w:val="24"/>
        </w:rPr>
        <w:t xml:space="preserve"> cette Cour.</w:t>
      </w:r>
      <w:r w:rsidR="00FE7F91">
        <w:rPr>
          <w:rFonts w:ascii="Times New Roman" w:hAnsi="Times New Roman" w:cs="Times New Roman"/>
          <w:sz w:val="24"/>
          <w:szCs w:val="24"/>
        </w:rPr>
        <w:t xml:space="preserve"> Ainsi, il convient de rappeler que l’article 10, point f du Protocole d’Accra du 19 janvier 2005 con</w:t>
      </w:r>
      <w:r w:rsidR="002D6140">
        <w:rPr>
          <w:rFonts w:ascii="Times New Roman" w:hAnsi="Times New Roman" w:cs="Times New Roman"/>
          <w:sz w:val="24"/>
          <w:szCs w:val="24"/>
        </w:rPr>
        <w:t>sacre la collaboration entre la</w:t>
      </w:r>
      <w:r w:rsidR="00FE7F91">
        <w:rPr>
          <w:rFonts w:ascii="Times New Roman" w:hAnsi="Times New Roman" w:cs="Times New Roman"/>
          <w:sz w:val="24"/>
          <w:szCs w:val="24"/>
        </w:rPr>
        <w:t xml:space="preserve"> ju</w:t>
      </w:r>
      <w:r w:rsidR="002D6140">
        <w:rPr>
          <w:rFonts w:ascii="Times New Roman" w:hAnsi="Times New Roman" w:cs="Times New Roman"/>
          <w:sz w:val="24"/>
          <w:szCs w:val="24"/>
        </w:rPr>
        <w:t xml:space="preserve">ridictionde renvoi </w:t>
      </w:r>
      <w:r w:rsidR="00FE7F91">
        <w:rPr>
          <w:rFonts w:ascii="Times New Roman" w:hAnsi="Times New Roman" w:cs="Times New Roman"/>
          <w:sz w:val="24"/>
          <w:szCs w:val="24"/>
        </w:rPr>
        <w:t>et la Cour de justice de la communauté, dans le déroulement de leur dialogue et la réalisation des objectifs poursuivis par la procédure préjudicielle. S’agissant de</w:t>
      </w:r>
      <w:r w:rsidR="002D6140">
        <w:rPr>
          <w:rFonts w:ascii="Times New Roman" w:hAnsi="Times New Roman" w:cs="Times New Roman"/>
          <w:sz w:val="24"/>
          <w:szCs w:val="24"/>
        </w:rPr>
        <w:t xml:space="preserve"> la juridiction de renvoi</w:t>
      </w:r>
      <w:r w:rsidR="00FE7F91">
        <w:rPr>
          <w:rFonts w:ascii="Times New Roman" w:hAnsi="Times New Roman" w:cs="Times New Roman"/>
          <w:sz w:val="24"/>
          <w:szCs w:val="24"/>
        </w:rPr>
        <w:t xml:space="preserve">, </w:t>
      </w:r>
      <w:r w:rsidR="002D6140">
        <w:rPr>
          <w:rFonts w:ascii="Times New Roman" w:hAnsi="Times New Roman" w:cs="Times New Roman"/>
          <w:sz w:val="24"/>
          <w:szCs w:val="24"/>
        </w:rPr>
        <w:t xml:space="preserve">elle est seule habilitée à saisir la Cour de justice d’une </w:t>
      </w:r>
      <w:r w:rsidR="002D6140">
        <w:rPr>
          <w:rFonts w:ascii="Times New Roman" w:hAnsi="Times New Roman" w:cs="Times New Roman"/>
          <w:sz w:val="24"/>
          <w:szCs w:val="24"/>
        </w:rPr>
        <w:lastRenderedPageBreak/>
        <w:t>question préjudicielle, dès lors qu’elle l’estime « </w:t>
      </w:r>
      <w:r w:rsidR="002D6140" w:rsidRPr="00E90E41">
        <w:rPr>
          <w:rFonts w:ascii="Times New Roman" w:hAnsi="Times New Roman" w:cs="Times New Roman"/>
          <w:i/>
          <w:sz w:val="24"/>
          <w:szCs w:val="24"/>
        </w:rPr>
        <w:t>nécessaire pour rendre son jugement</w:t>
      </w:r>
      <w:r w:rsidR="002D6140">
        <w:rPr>
          <w:rFonts w:ascii="Times New Roman" w:hAnsi="Times New Roman" w:cs="Times New Roman"/>
          <w:sz w:val="24"/>
          <w:szCs w:val="24"/>
        </w:rPr>
        <w:t> »</w:t>
      </w:r>
      <w:r w:rsidR="002D6140">
        <w:rPr>
          <w:rStyle w:val="Appelnotedebasdep"/>
          <w:rFonts w:ascii="Times New Roman" w:hAnsi="Times New Roman" w:cs="Times New Roman"/>
          <w:sz w:val="24"/>
          <w:szCs w:val="24"/>
        </w:rPr>
        <w:footnoteReference w:id="273"/>
      </w:r>
      <w:r w:rsidR="00E90E41">
        <w:rPr>
          <w:rFonts w:ascii="Times New Roman" w:hAnsi="Times New Roman" w:cs="Times New Roman"/>
          <w:sz w:val="24"/>
          <w:szCs w:val="24"/>
        </w:rPr>
        <w:t>. A cet égard, il s’ensuit, en premier lieu, qu’un renvoi préjudiciel prononcé, alors que la procédure devant la juridiction nationale est close, serait irrecevable</w:t>
      </w:r>
      <w:r w:rsidR="00E90E41">
        <w:rPr>
          <w:rStyle w:val="Appelnotedebasdep"/>
          <w:rFonts w:ascii="Times New Roman" w:hAnsi="Times New Roman" w:cs="Times New Roman"/>
          <w:sz w:val="24"/>
          <w:szCs w:val="24"/>
        </w:rPr>
        <w:footnoteReference w:id="274"/>
      </w:r>
      <w:r w:rsidR="004641BA">
        <w:rPr>
          <w:rFonts w:ascii="Times New Roman" w:hAnsi="Times New Roman" w:cs="Times New Roman"/>
          <w:sz w:val="24"/>
          <w:szCs w:val="24"/>
        </w:rPr>
        <w:t>. En second lieu,</w:t>
      </w:r>
      <w:r w:rsidR="002037D4">
        <w:rPr>
          <w:rFonts w:ascii="Times New Roman" w:hAnsi="Times New Roman" w:cs="Times New Roman"/>
          <w:sz w:val="24"/>
          <w:szCs w:val="24"/>
        </w:rPr>
        <w:t xml:space="preserve"> si les parties au litige dans le cadre duquel la juridiction de renvoi a décidé de poser des questions préjudicielles, parviennent à régler leur différend, sur la base d’un règlement amiable, avant que la Cour de justice ait pu prononcer son arrêt préjudiciel, la juridiction de renvoi est obligée de dessaisir immédiatement cette Cour en retirant sa demande préjudicielle</w:t>
      </w:r>
      <w:r w:rsidR="002037D4">
        <w:rPr>
          <w:rStyle w:val="Appelnotedebasdep"/>
          <w:rFonts w:ascii="Times New Roman" w:hAnsi="Times New Roman" w:cs="Times New Roman"/>
          <w:sz w:val="24"/>
          <w:szCs w:val="24"/>
        </w:rPr>
        <w:footnoteReference w:id="275"/>
      </w:r>
      <w:r w:rsidR="00DB6678">
        <w:rPr>
          <w:rFonts w:ascii="Times New Roman" w:hAnsi="Times New Roman" w:cs="Times New Roman"/>
          <w:sz w:val="24"/>
          <w:szCs w:val="24"/>
        </w:rPr>
        <w:t>.</w:t>
      </w:r>
      <w:r w:rsidR="000147AF">
        <w:rPr>
          <w:rFonts w:ascii="Times New Roman" w:hAnsi="Times New Roman" w:cs="Times New Roman"/>
          <w:sz w:val="24"/>
          <w:szCs w:val="24"/>
        </w:rPr>
        <w:t xml:space="preserve">S’agissant de la Cour de justice de la communauté, </w:t>
      </w:r>
      <w:r w:rsidR="005F22F6">
        <w:rPr>
          <w:rFonts w:ascii="Times New Roman" w:hAnsi="Times New Roman" w:cs="Times New Roman"/>
          <w:sz w:val="24"/>
          <w:szCs w:val="24"/>
        </w:rPr>
        <w:t>celle-ci est censée coopérer loyalement avec la juridiction de renvoi qui l’a saisie et, par conséquent, une fois que cette dernière a retiré sa demande, elle (la cour) ne saurait en principe statuer sur la question. Et puis, même si la Cour statue, l’arrêt à venir n’est plus « </w:t>
      </w:r>
      <w:r w:rsidR="005F22F6" w:rsidRPr="005F22F6">
        <w:rPr>
          <w:rFonts w:ascii="Times New Roman" w:hAnsi="Times New Roman" w:cs="Times New Roman"/>
          <w:i/>
          <w:sz w:val="24"/>
          <w:szCs w:val="24"/>
        </w:rPr>
        <w:t>nécessaire à la juridiction nationale pour rendre son arrêt</w:t>
      </w:r>
      <w:r w:rsidR="005F22F6">
        <w:rPr>
          <w:rFonts w:ascii="Times New Roman" w:hAnsi="Times New Roman" w:cs="Times New Roman"/>
          <w:sz w:val="24"/>
          <w:szCs w:val="24"/>
        </w:rPr>
        <w:t> »</w:t>
      </w:r>
      <w:r w:rsidR="005F22F6">
        <w:rPr>
          <w:rStyle w:val="Appelnotedebasdep"/>
          <w:rFonts w:ascii="Times New Roman" w:hAnsi="Times New Roman" w:cs="Times New Roman"/>
          <w:sz w:val="24"/>
          <w:szCs w:val="24"/>
        </w:rPr>
        <w:footnoteReference w:id="276"/>
      </w:r>
      <w:r w:rsidR="005F22F6">
        <w:rPr>
          <w:rFonts w:ascii="Times New Roman" w:hAnsi="Times New Roman" w:cs="Times New Roman"/>
          <w:sz w:val="24"/>
          <w:szCs w:val="24"/>
        </w:rPr>
        <w:t xml:space="preserve">. </w:t>
      </w:r>
      <w:r w:rsidR="005F22F6" w:rsidRPr="0004728A">
        <w:rPr>
          <w:rFonts w:ascii="Times New Roman" w:hAnsi="Times New Roman" w:cs="Times New Roman"/>
          <w:sz w:val="24"/>
          <w:szCs w:val="24"/>
        </w:rPr>
        <w:t xml:space="preserve">C’est en cela que cette situation de retrait tardif a </w:t>
      </w:r>
      <w:r w:rsidR="00AE2624" w:rsidRPr="0004728A">
        <w:rPr>
          <w:rFonts w:ascii="Times New Roman" w:hAnsi="Times New Roman" w:cs="Times New Roman"/>
          <w:sz w:val="24"/>
          <w:szCs w:val="24"/>
        </w:rPr>
        <w:t>une</w:t>
      </w:r>
      <w:r w:rsidR="005F22F6" w:rsidRPr="0004728A">
        <w:rPr>
          <w:rFonts w:ascii="Times New Roman" w:hAnsi="Times New Roman" w:cs="Times New Roman"/>
          <w:sz w:val="24"/>
          <w:szCs w:val="24"/>
        </w:rPr>
        <w:t xml:space="preserve"> incidence dans le cadre de la procédure préjudicielle</w:t>
      </w:r>
      <w:r w:rsidR="005F22F6">
        <w:rPr>
          <w:rFonts w:ascii="Times New Roman" w:hAnsi="Times New Roman" w:cs="Times New Roman"/>
          <w:sz w:val="24"/>
          <w:szCs w:val="24"/>
        </w:rPr>
        <w:t>.</w:t>
      </w:r>
    </w:p>
    <w:p w:rsidR="00CE2189" w:rsidRDefault="00CE2189" w:rsidP="00B36746">
      <w:pPr>
        <w:pStyle w:val="Titre5"/>
      </w:pPr>
      <w:bookmarkStart w:id="82" w:name="_Toc518672821"/>
      <w:r w:rsidRPr="004E2F98">
        <w:t>B. L’incidence du retrait tardif de la demande préjudicielle</w:t>
      </w:r>
      <w:bookmarkEnd w:id="82"/>
    </w:p>
    <w:p w:rsidR="00C43E6F" w:rsidRDefault="00987AAA" w:rsidP="009F25B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Parler de l’incidence du retrait tardif d’une demande préjudicielle</w:t>
      </w:r>
      <w:r w:rsidR="00F610E5">
        <w:rPr>
          <w:rFonts w:ascii="Times New Roman" w:hAnsi="Times New Roman" w:cs="Times New Roman"/>
          <w:sz w:val="24"/>
          <w:szCs w:val="24"/>
        </w:rPr>
        <w:t>,</w:t>
      </w:r>
      <w:r>
        <w:rPr>
          <w:rFonts w:ascii="Times New Roman" w:hAnsi="Times New Roman" w:cs="Times New Roman"/>
          <w:sz w:val="24"/>
          <w:szCs w:val="24"/>
        </w:rPr>
        <w:t xml:space="preserve"> revient de la manière la plus simple à s’interroger sur la suite de la procédure au niveau communautaire</w:t>
      </w:r>
      <w:r>
        <w:rPr>
          <w:rStyle w:val="Appelnotedebasdep"/>
          <w:rFonts w:ascii="Times New Roman" w:hAnsi="Times New Roman" w:cs="Times New Roman"/>
          <w:sz w:val="24"/>
          <w:szCs w:val="24"/>
        </w:rPr>
        <w:footnoteReference w:id="277"/>
      </w:r>
      <w:r>
        <w:rPr>
          <w:rFonts w:ascii="Times New Roman" w:hAnsi="Times New Roman" w:cs="Times New Roman"/>
          <w:sz w:val="24"/>
          <w:szCs w:val="24"/>
        </w:rPr>
        <w:t xml:space="preserve">. </w:t>
      </w:r>
      <w:r w:rsidR="00341281">
        <w:rPr>
          <w:rFonts w:ascii="Times New Roman" w:hAnsi="Times New Roman" w:cs="Times New Roman"/>
          <w:sz w:val="24"/>
          <w:szCs w:val="24"/>
        </w:rPr>
        <w:t xml:space="preserve">A cet égard, il convient de se demander si le juge communautaire va continuer la procédure de façon à prononcer son arrêt, malgré le retrait de l’affaire par la juridiction de renvoi, ou encore s’il va clôturer l’affaire en question avant le prononcé de l’arrêt. </w:t>
      </w:r>
      <w:r w:rsidR="005D6EA9">
        <w:rPr>
          <w:rFonts w:ascii="Times New Roman" w:hAnsi="Times New Roman" w:cs="Times New Roman"/>
          <w:sz w:val="24"/>
          <w:szCs w:val="24"/>
        </w:rPr>
        <w:t xml:space="preserve">Ainsi, interprétant les dispositions de l’article 10, point f du Protocole d’Accra du 19 janvier 2005, il convient de relever trois (03) séries d’observations importantes : </w:t>
      </w:r>
    </w:p>
    <w:p w:rsidR="005D6EA9" w:rsidRDefault="005D6EA9" w:rsidP="009F25B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D’abord, </w:t>
      </w:r>
      <w:r w:rsidR="00066F94">
        <w:rPr>
          <w:rFonts w:ascii="Times New Roman" w:hAnsi="Times New Roman" w:cs="Times New Roman"/>
          <w:sz w:val="24"/>
          <w:szCs w:val="24"/>
        </w:rPr>
        <w:t>si on concevait le renvoi préjudiciel comme « </w:t>
      </w:r>
      <w:r w:rsidR="00066F94" w:rsidRPr="00C25340">
        <w:rPr>
          <w:rFonts w:ascii="Times New Roman" w:hAnsi="Times New Roman" w:cs="Times New Roman"/>
          <w:sz w:val="24"/>
          <w:szCs w:val="24"/>
        </w:rPr>
        <w:t>recours </w:t>
      </w:r>
      <w:r w:rsidR="00066F94">
        <w:rPr>
          <w:rFonts w:ascii="Times New Roman" w:hAnsi="Times New Roman" w:cs="Times New Roman"/>
          <w:sz w:val="24"/>
          <w:szCs w:val="24"/>
        </w:rPr>
        <w:t xml:space="preserve">» disponible entre les mains des parties (c’est-à-dire les justiciables), le prononcé de l’arrêt de la Cour de justice dans les circonstances </w:t>
      </w:r>
      <w:r w:rsidR="00C25340">
        <w:rPr>
          <w:rFonts w:ascii="Times New Roman" w:hAnsi="Times New Roman" w:cs="Times New Roman"/>
          <w:sz w:val="24"/>
          <w:szCs w:val="24"/>
        </w:rPr>
        <w:t xml:space="preserve">de l’arrêt </w:t>
      </w:r>
      <w:r w:rsidR="00066F94" w:rsidRPr="00066F94">
        <w:rPr>
          <w:rFonts w:ascii="Times New Roman" w:hAnsi="Times New Roman" w:cs="Times New Roman"/>
          <w:i/>
          <w:sz w:val="24"/>
          <w:szCs w:val="24"/>
        </w:rPr>
        <w:t>Kramme</w:t>
      </w:r>
      <w:r w:rsidR="00066F94">
        <w:rPr>
          <w:rFonts w:ascii="Times New Roman" w:hAnsi="Times New Roman" w:cs="Times New Roman"/>
          <w:sz w:val="24"/>
          <w:szCs w:val="24"/>
        </w:rPr>
        <w:t xml:space="preserve"> précité serait exclu. En effet, à partir du moment où l’affaire ayant des incidences sur les droits de l’intéressé a disparu, la question de la protection de ses </w:t>
      </w:r>
      <w:r w:rsidR="00066F94">
        <w:rPr>
          <w:rFonts w:ascii="Times New Roman" w:hAnsi="Times New Roman" w:cs="Times New Roman"/>
          <w:sz w:val="24"/>
          <w:szCs w:val="24"/>
        </w:rPr>
        <w:lastRenderedPageBreak/>
        <w:t>droits ne se pose plus</w:t>
      </w:r>
      <w:r w:rsidR="00066F94">
        <w:rPr>
          <w:rStyle w:val="Appelnotedebasdep"/>
          <w:rFonts w:ascii="Times New Roman" w:hAnsi="Times New Roman" w:cs="Times New Roman"/>
          <w:sz w:val="24"/>
          <w:szCs w:val="24"/>
        </w:rPr>
        <w:footnoteReference w:id="278"/>
      </w:r>
      <w:r w:rsidR="009F75CB">
        <w:rPr>
          <w:rFonts w:ascii="Times New Roman" w:hAnsi="Times New Roman" w:cs="Times New Roman"/>
          <w:sz w:val="24"/>
          <w:szCs w:val="24"/>
        </w:rPr>
        <w:t>. Cependant, rappelons que l’objectif essentiel du renvoi préjudiciel est d’assurer une interprétation et une application uniformes du droit de la communauté. Il n’est donc pas nécessaire qu’il y ait une affaire précise pendante au moment du prononcé de l’arrêt de la Cour, parce que les effets dudit arrêt sont susceptibles de s’étendre aussi aux autres affaires similaires qui peuvent subsister, au sein de la communauté, indépendamment de l’affaire retirée.</w:t>
      </w:r>
    </w:p>
    <w:p w:rsidR="00402171" w:rsidRDefault="00402171" w:rsidP="009F25BA">
      <w:pPr>
        <w:spacing w:line="360" w:lineRule="auto"/>
        <w:jc w:val="both"/>
        <w:rPr>
          <w:rFonts w:ascii="Times New Roman" w:hAnsi="Times New Roman" w:cs="Times New Roman"/>
          <w:sz w:val="24"/>
          <w:szCs w:val="24"/>
        </w:rPr>
      </w:pPr>
      <w:r>
        <w:rPr>
          <w:rFonts w:ascii="Times New Roman" w:hAnsi="Times New Roman" w:cs="Times New Roman"/>
          <w:sz w:val="24"/>
          <w:szCs w:val="24"/>
        </w:rPr>
        <w:t>Ensuite, certes, l’arrêt rendu à titre préjudiciel suppose par définition l’existence d’un litige pendant à la résolution duquel il est censé contribuer. Toutefois, il n’est pas nécessairement admis que la compétence préjudicielle de la Cour de justice soit liée à une seule affaire précise pendante, tant qu’il existe, devant les juridictions des Etats membres, des affaires similaires dans lesquelles se posent les mêmes questions préjudicielles</w:t>
      </w:r>
      <w:r>
        <w:rPr>
          <w:rStyle w:val="Appelnotedebasdep"/>
          <w:rFonts w:ascii="Times New Roman" w:hAnsi="Times New Roman" w:cs="Times New Roman"/>
          <w:sz w:val="24"/>
          <w:szCs w:val="24"/>
        </w:rPr>
        <w:footnoteReference w:id="279"/>
      </w:r>
      <w:r>
        <w:rPr>
          <w:rFonts w:ascii="Times New Roman" w:hAnsi="Times New Roman" w:cs="Times New Roman"/>
          <w:sz w:val="24"/>
          <w:szCs w:val="24"/>
        </w:rPr>
        <w:t>.</w:t>
      </w:r>
      <w:r w:rsidR="00713CF0">
        <w:rPr>
          <w:rFonts w:ascii="Times New Roman" w:hAnsi="Times New Roman" w:cs="Times New Roman"/>
          <w:sz w:val="24"/>
          <w:szCs w:val="24"/>
        </w:rPr>
        <w:t xml:space="preserve"> L’</w:t>
      </w:r>
      <w:r w:rsidR="004206F4">
        <w:rPr>
          <w:rFonts w:ascii="Times New Roman" w:hAnsi="Times New Roman" w:cs="Times New Roman"/>
          <w:sz w:val="24"/>
          <w:szCs w:val="24"/>
        </w:rPr>
        <w:t>arrêt</w:t>
      </w:r>
      <w:r w:rsidR="00713CF0">
        <w:rPr>
          <w:rFonts w:ascii="Times New Roman" w:hAnsi="Times New Roman" w:cs="Times New Roman"/>
          <w:sz w:val="24"/>
          <w:szCs w:val="24"/>
        </w:rPr>
        <w:t xml:space="preserve"> de la Cour de justice</w:t>
      </w:r>
      <w:r w:rsidR="004206F4">
        <w:rPr>
          <w:rFonts w:ascii="Times New Roman" w:hAnsi="Times New Roman" w:cs="Times New Roman"/>
          <w:sz w:val="24"/>
          <w:szCs w:val="24"/>
        </w:rPr>
        <w:t xml:space="preserve"> est, à cet égard, nécessaire pour leur résolution.</w:t>
      </w:r>
    </w:p>
    <w:p w:rsidR="00F479EC" w:rsidRDefault="00F479EC" w:rsidP="009F25BA">
      <w:pPr>
        <w:spacing w:line="360" w:lineRule="auto"/>
        <w:jc w:val="both"/>
        <w:rPr>
          <w:rFonts w:ascii="Times New Roman" w:hAnsi="Times New Roman" w:cs="Times New Roman"/>
          <w:sz w:val="24"/>
          <w:szCs w:val="24"/>
        </w:rPr>
      </w:pPr>
      <w:r>
        <w:rPr>
          <w:rFonts w:ascii="Times New Roman" w:hAnsi="Times New Roman" w:cs="Times New Roman"/>
          <w:sz w:val="24"/>
          <w:szCs w:val="24"/>
        </w:rPr>
        <w:t>Enfin, en conférant à la Cour de justice la compétence préjudicielle, le constituant de la communaut</w:t>
      </w:r>
      <w:r w:rsidR="00C25340">
        <w:rPr>
          <w:rFonts w:ascii="Times New Roman" w:hAnsi="Times New Roman" w:cs="Times New Roman"/>
          <w:sz w:val="24"/>
          <w:szCs w:val="24"/>
        </w:rPr>
        <w:t>é souhaitait de toute évidence en</w:t>
      </w:r>
      <w:r>
        <w:rPr>
          <w:rFonts w:ascii="Times New Roman" w:hAnsi="Times New Roman" w:cs="Times New Roman"/>
          <w:sz w:val="24"/>
          <w:szCs w:val="24"/>
        </w:rPr>
        <w:t xml:space="preserve"> encadrer l’exercice, en vue de ne pas laisser à la Cour de justice l’interprétation du droit de la communauté </w:t>
      </w:r>
      <w:r w:rsidRPr="00F479EC">
        <w:rPr>
          <w:rFonts w:ascii="Times New Roman" w:hAnsi="Times New Roman" w:cs="Times New Roman"/>
          <w:i/>
          <w:sz w:val="24"/>
          <w:szCs w:val="24"/>
        </w:rPr>
        <w:t>in abstracto</w:t>
      </w:r>
      <w:r>
        <w:rPr>
          <w:rFonts w:ascii="Times New Roman" w:hAnsi="Times New Roman" w:cs="Times New Roman"/>
          <w:sz w:val="24"/>
          <w:szCs w:val="24"/>
        </w:rPr>
        <w:t xml:space="preserve">, c’est-à-dire en dehors d’un contexte concret défini par les faits inhérents à une affaire déterminée. </w:t>
      </w:r>
      <w:r w:rsidR="0076731F">
        <w:rPr>
          <w:rFonts w:ascii="Times New Roman" w:hAnsi="Times New Roman" w:cs="Times New Roman"/>
          <w:sz w:val="24"/>
          <w:szCs w:val="24"/>
        </w:rPr>
        <w:t xml:space="preserve">En effet, la compétence pour interpréter les traités </w:t>
      </w:r>
      <w:r w:rsidR="0076731F" w:rsidRPr="00781FCB">
        <w:rPr>
          <w:rFonts w:ascii="Times New Roman" w:hAnsi="Times New Roman" w:cs="Times New Roman"/>
          <w:i/>
          <w:sz w:val="24"/>
          <w:szCs w:val="24"/>
        </w:rPr>
        <w:t>in abstracto</w:t>
      </w:r>
      <w:r w:rsidR="0076731F">
        <w:rPr>
          <w:rFonts w:ascii="Times New Roman" w:hAnsi="Times New Roman" w:cs="Times New Roman"/>
          <w:sz w:val="24"/>
          <w:szCs w:val="24"/>
        </w:rPr>
        <w:t xml:space="preserve"> est réservée au législateur de la communauté et non au pouvoir judiciaire</w:t>
      </w:r>
      <w:r w:rsidR="0076731F">
        <w:rPr>
          <w:rStyle w:val="Appelnotedebasdep"/>
          <w:rFonts w:ascii="Times New Roman" w:hAnsi="Times New Roman" w:cs="Times New Roman"/>
          <w:sz w:val="24"/>
          <w:szCs w:val="24"/>
        </w:rPr>
        <w:footnoteReference w:id="280"/>
      </w:r>
      <w:r w:rsidR="00781FCB">
        <w:rPr>
          <w:rFonts w:ascii="Times New Roman" w:hAnsi="Times New Roman" w:cs="Times New Roman"/>
          <w:sz w:val="24"/>
          <w:szCs w:val="24"/>
        </w:rPr>
        <w:t xml:space="preserve">. Cela étant, il est donc possible de rendre un arrêt malgré le retrait de la question préjudicielle, sans que cela puisse constituer un excès de pouvoir. Toutefois, il n’est dès lors pas admis à ce que la Cour de justice procède dans l’arrêt prononcé à une interprétation </w:t>
      </w:r>
      <w:r w:rsidR="00781FCB" w:rsidRPr="0072608C">
        <w:rPr>
          <w:rFonts w:ascii="Times New Roman" w:hAnsi="Times New Roman" w:cs="Times New Roman"/>
          <w:i/>
          <w:sz w:val="24"/>
          <w:szCs w:val="24"/>
        </w:rPr>
        <w:t>in abstracto</w:t>
      </w:r>
      <w:r w:rsidR="00781FCB">
        <w:rPr>
          <w:rStyle w:val="Appelnotedebasdep"/>
          <w:rFonts w:ascii="Times New Roman" w:hAnsi="Times New Roman" w:cs="Times New Roman"/>
          <w:sz w:val="24"/>
          <w:szCs w:val="24"/>
        </w:rPr>
        <w:footnoteReference w:id="281"/>
      </w:r>
      <w:r w:rsidR="0074086C">
        <w:rPr>
          <w:rFonts w:ascii="Times New Roman" w:hAnsi="Times New Roman" w:cs="Times New Roman"/>
          <w:sz w:val="24"/>
          <w:szCs w:val="24"/>
        </w:rPr>
        <w:t>.</w:t>
      </w:r>
    </w:p>
    <w:p w:rsidR="00F804C3" w:rsidRDefault="00F804C3" w:rsidP="009F25B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Somme toute, il ressort de ces trois (03) séries d’observations, que le retrait tardif d’une demande préjudicielle n’empêche pas </w:t>
      </w:r>
      <w:r w:rsidR="0087517E">
        <w:rPr>
          <w:rFonts w:ascii="Times New Roman" w:hAnsi="Times New Roman" w:cs="Times New Roman"/>
          <w:sz w:val="24"/>
          <w:szCs w:val="24"/>
        </w:rPr>
        <w:t>à la Cour de justice de poursuivre s</w:t>
      </w:r>
      <w:r>
        <w:rPr>
          <w:rFonts w:ascii="Times New Roman" w:hAnsi="Times New Roman" w:cs="Times New Roman"/>
          <w:sz w:val="24"/>
          <w:szCs w:val="24"/>
        </w:rPr>
        <w:t>a procédure en vue du prononcé de son arrêt préjudiciel.</w:t>
      </w:r>
      <w:r w:rsidR="00381B15">
        <w:rPr>
          <w:rFonts w:ascii="Times New Roman" w:hAnsi="Times New Roman" w:cs="Times New Roman"/>
          <w:sz w:val="24"/>
          <w:szCs w:val="24"/>
        </w:rPr>
        <w:t xml:space="preserve"> Toutefois, dans l’arrêt </w:t>
      </w:r>
      <w:r w:rsidR="00381B15" w:rsidRPr="00B21071">
        <w:rPr>
          <w:rFonts w:ascii="Times New Roman" w:hAnsi="Times New Roman" w:cs="Times New Roman"/>
          <w:i/>
          <w:sz w:val="24"/>
          <w:szCs w:val="24"/>
        </w:rPr>
        <w:t>Kramme</w:t>
      </w:r>
      <w:r w:rsidR="00381B15">
        <w:rPr>
          <w:rFonts w:ascii="Times New Roman" w:hAnsi="Times New Roman" w:cs="Times New Roman"/>
          <w:sz w:val="24"/>
          <w:szCs w:val="24"/>
        </w:rPr>
        <w:t xml:space="preserve"> précité, la Cour de justice semble adoptée une démarche contraire. La formation de jugement concernée a décidé de ne pas prononcer l’arrêt et de clore la procédure, compte tenu du silence du législateur par rapport aux conséquences à donner à un retrait très tardif de la demande préjudicielle</w:t>
      </w:r>
      <w:r w:rsidR="00381B15">
        <w:rPr>
          <w:rStyle w:val="Appelnotedebasdep"/>
          <w:rFonts w:ascii="Times New Roman" w:hAnsi="Times New Roman" w:cs="Times New Roman"/>
          <w:sz w:val="24"/>
          <w:szCs w:val="24"/>
        </w:rPr>
        <w:footnoteReference w:id="282"/>
      </w:r>
      <w:r w:rsidR="008A1247">
        <w:rPr>
          <w:rFonts w:ascii="Times New Roman" w:hAnsi="Times New Roman" w:cs="Times New Roman"/>
          <w:sz w:val="24"/>
          <w:szCs w:val="24"/>
        </w:rPr>
        <w:t xml:space="preserve">. </w:t>
      </w:r>
      <w:r w:rsidR="008A1247">
        <w:rPr>
          <w:rFonts w:ascii="Times New Roman" w:hAnsi="Times New Roman" w:cs="Times New Roman"/>
          <w:sz w:val="24"/>
          <w:szCs w:val="24"/>
        </w:rPr>
        <w:lastRenderedPageBreak/>
        <w:t>Cependant, tenant compte de l’objectif sous-tendant le mécanisme du renvoi préjudiciel</w:t>
      </w:r>
      <w:r w:rsidR="008A1247">
        <w:rPr>
          <w:rStyle w:val="Appelnotedebasdep"/>
          <w:rFonts w:ascii="Times New Roman" w:hAnsi="Times New Roman" w:cs="Times New Roman"/>
          <w:sz w:val="24"/>
          <w:szCs w:val="24"/>
        </w:rPr>
        <w:footnoteReference w:id="283"/>
      </w:r>
      <w:r w:rsidR="00B21071">
        <w:rPr>
          <w:rFonts w:ascii="Times New Roman" w:hAnsi="Times New Roman" w:cs="Times New Roman"/>
          <w:sz w:val="24"/>
          <w:szCs w:val="24"/>
        </w:rPr>
        <w:t xml:space="preserve">, la Cour de justice a adopté une position formelle favorable au prononcé des arrêts dans des situations de retrait très tardif et a suggéré au législateur </w:t>
      </w:r>
      <w:r w:rsidR="004014A8">
        <w:rPr>
          <w:rFonts w:ascii="Times New Roman" w:hAnsi="Times New Roman" w:cs="Times New Roman"/>
          <w:sz w:val="24"/>
          <w:szCs w:val="24"/>
        </w:rPr>
        <w:t xml:space="preserve">européen </w:t>
      </w:r>
      <w:r w:rsidR="00B21071">
        <w:rPr>
          <w:rFonts w:ascii="Times New Roman" w:hAnsi="Times New Roman" w:cs="Times New Roman"/>
          <w:sz w:val="24"/>
          <w:szCs w:val="24"/>
        </w:rPr>
        <w:t>la modification du règlement de procédure en vue de tenir compte de cette situation particulière.</w:t>
      </w:r>
      <w:r w:rsidR="009B1D0C">
        <w:rPr>
          <w:rFonts w:ascii="Times New Roman" w:hAnsi="Times New Roman" w:cs="Times New Roman"/>
          <w:sz w:val="24"/>
          <w:szCs w:val="24"/>
        </w:rPr>
        <w:t xml:space="preserve"> Malgré </w:t>
      </w:r>
      <w:r w:rsidR="00395B06">
        <w:rPr>
          <w:rFonts w:ascii="Times New Roman" w:hAnsi="Times New Roman" w:cs="Times New Roman"/>
          <w:sz w:val="24"/>
          <w:szCs w:val="24"/>
        </w:rPr>
        <w:t xml:space="preserve">la résistance </w:t>
      </w:r>
      <w:r w:rsidR="009B1D0C">
        <w:rPr>
          <w:rFonts w:ascii="Times New Roman" w:hAnsi="Times New Roman" w:cs="Times New Roman"/>
          <w:sz w:val="24"/>
          <w:szCs w:val="24"/>
        </w:rPr>
        <w:t>des certains Etats</w:t>
      </w:r>
      <w:r w:rsidR="009B1D0C">
        <w:rPr>
          <w:rStyle w:val="Appelnotedebasdep"/>
          <w:rFonts w:ascii="Times New Roman" w:hAnsi="Times New Roman" w:cs="Times New Roman"/>
          <w:sz w:val="24"/>
          <w:szCs w:val="24"/>
        </w:rPr>
        <w:footnoteReference w:id="284"/>
      </w:r>
      <w:r w:rsidR="009B1D0C">
        <w:rPr>
          <w:rFonts w:ascii="Times New Roman" w:hAnsi="Times New Roman" w:cs="Times New Roman"/>
          <w:sz w:val="24"/>
          <w:szCs w:val="24"/>
        </w:rPr>
        <w:t>, la suggestion faite par la Cour de justice a été au bout du compte approuvée par le conseil</w:t>
      </w:r>
      <w:r w:rsidR="00CA2B47">
        <w:rPr>
          <w:rStyle w:val="Appelnotedebasdep"/>
          <w:rFonts w:ascii="Times New Roman" w:hAnsi="Times New Roman" w:cs="Times New Roman"/>
          <w:sz w:val="24"/>
          <w:szCs w:val="24"/>
        </w:rPr>
        <w:footnoteReference w:id="285"/>
      </w:r>
      <w:r w:rsidR="009B1D0C">
        <w:rPr>
          <w:rFonts w:ascii="Times New Roman" w:hAnsi="Times New Roman" w:cs="Times New Roman"/>
          <w:sz w:val="24"/>
          <w:szCs w:val="24"/>
        </w:rPr>
        <w:t>. C’est ainsi que l’article 100 (1) du nouveau règlement de procédure</w:t>
      </w:r>
      <w:r w:rsidR="00234F42">
        <w:rPr>
          <w:rStyle w:val="Appelnotedebasdep"/>
          <w:rFonts w:ascii="Times New Roman" w:hAnsi="Times New Roman" w:cs="Times New Roman"/>
          <w:sz w:val="24"/>
          <w:szCs w:val="24"/>
        </w:rPr>
        <w:footnoteReference w:id="286"/>
      </w:r>
      <w:r w:rsidR="009B1D0C">
        <w:rPr>
          <w:rFonts w:ascii="Times New Roman" w:hAnsi="Times New Roman" w:cs="Times New Roman"/>
          <w:sz w:val="24"/>
          <w:szCs w:val="24"/>
        </w:rPr>
        <w:t xml:space="preserve"> de la Cour de justice est libellée comme suit : « </w:t>
      </w:r>
      <w:r w:rsidR="009B1D0C" w:rsidRPr="009B1D0C">
        <w:rPr>
          <w:rFonts w:ascii="Times New Roman" w:hAnsi="Times New Roman" w:cs="Times New Roman"/>
          <w:i/>
          <w:sz w:val="24"/>
          <w:szCs w:val="24"/>
        </w:rPr>
        <w:t>le retrait d’une demande peut être pris en compte jusqu’à la signification de la date du prononcé de l’arrêt aux intéressés</w:t>
      </w:r>
      <w:r w:rsidR="009B1D0C">
        <w:rPr>
          <w:rFonts w:ascii="Times New Roman" w:hAnsi="Times New Roman" w:cs="Times New Roman"/>
          <w:sz w:val="24"/>
          <w:szCs w:val="24"/>
        </w:rPr>
        <w:t>… »</w:t>
      </w:r>
      <w:r w:rsidR="002754E5">
        <w:rPr>
          <w:rStyle w:val="Appelnotedebasdep"/>
          <w:rFonts w:ascii="Times New Roman" w:hAnsi="Times New Roman" w:cs="Times New Roman"/>
          <w:sz w:val="24"/>
          <w:szCs w:val="24"/>
        </w:rPr>
        <w:footnoteReference w:id="287"/>
      </w:r>
      <w:r w:rsidR="00CA2B47">
        <w:rPr>
          <w:rFonts w:ascii="Times New Roman" w:hAnsi="Times New Roman" w:cs="Times New Roman"/>
          <w:sz w:val="24"/>
          <w:szCs w:val="24"/>
        </w:rPr>
        <w:t>.</w:t>
      </w:r>
    </w:p>
    <w:p w:rsidR="0056347A" w:rsidRDefault="0056347A" w:rsidP="009F25B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En tout état de cause, il y a dès lors lieu de retenir que si le retrait tardif d’une demande préjudicielle ne constitue pas un obstacle à ce que la Cour puisse poursuivre sa procédure, l’arrêt à venir n’a cependant qu’une portée limitée</w:t>
      </w:r>
      <w:r w:rsidR="000A50C6">
        <w:rPr>
          <w:rStyle w:val="Appelnotedebasdep"/>
          <w:rFonts w:ascii="Times New Roman" w:hAnsi="Times New Roman" w:cs="Times New Roman"/>
          <w:sz w:val="24"/>
          <w:szCs w:val="24"/>
        </w:rPr>
        <w:footnoteReference w:id="288"/>
      </w:r>
      <w:r>
        <w:rPr>
          <w:rFonts w:ascii="Times New Roman" w:hAnsi="Times New Roman" w:cs="Times New Roman"/>
          <w:sz w:val="24"/>
          <w:szCs w:val="24"/>
        </w:rPr>
        <w:t>, attestant déjà le coup dur porté au mécanisme du renvoi préjudiciel. Toutefois, à côté de ces difficultés émanant de la juridiction de renvoi, existe celles tenant à la volonté du juge communautaire lui-même.</w:t>
      </w:r>
    </w:p>
    <w:p w:rsidR="00694424" w:rsidRDefault="00BC4F8D" w:rsidP="002F7CA3">
      <w:pPr>
        <w:pStyle w:val="Titre4"/>
      </w:pPr>
      <w:bookmarkStart w:id="83" w:name="_Toc518672822"/>
      <w:r w:rsidRPr="00362E82">
        <w:t>§ 2</w:t>
      </w:r>
      <w:r w:rsidR="00694424" w:rsidRPr="00362E82">
        <w:t xml:space="preserve">: Les difficultés </w:t>
      </w:r>
      <w:r w:rsidR="00954453">
        <w:t>tenant à la volonté du juge communautaire</w:t>
      </w:r>
      <w:bookmarkEnd w:id="83"/>
    </w:p>
    <w:p w:rsidR="00FE3083" w:rsidRPr="00FE3083" w:rsidRDefault="00FE3083" w:rsidP="009F25BA">
      <w:pPr>
        <w:spacing w:line="360" w:lineRule="auto"/>
        <w:jc w:val="both"/>
        <w:rPr>
          <w:rFonts w:ascii="Times New Roman" w:hAnsi="Times New Roman" w:cs="Times New Roman"/>
          <w:sz w:val="24"/>
          <w:szCs w:val="24"/>
        </w:rPr>
      </w:pPr>
      <w:r w:rsidRPr="00FE3083">
        <w:rPr>
          <w:rFonts w:ascii="Times New Roman" w:hAnsi="Times New Roman" w:cs="Times New Roman"/>
          <w:sz w:val="24"/>
          <w:szCs w:val="24"/>
        </w:rPr>
        <w:t xml:space="preserve">Elles </w:t>
      </w:r>
      <w:r w:rsidR="0036469E">
        <w:rPr>
          <w:rFonts w:ascii="Times New Roman" w:hAnsi="Times New Roman" w:cs="Times New Roman"/>
          <w:sz w:val="24"/>
          <w:szCs w:val="24"/>
        </w:rPr>
        <w:t>renvoient essentiellement au</w:t>
      </w:r>
      <w:r w:rsidRPr="00FE3083">
        <w:rPr>
          <w:rFonts w:ascii="Times New Roman" w:hAnsi="Times New Roman" w:cs="Times New Roman"/>
          <w:sz w:val="24"/>
          <w:szCs w:val="24"/>
        </w:rPr>
        <w:t xml:space="preserve"> pouvoir souverain du juge communautaire dans l’exercice de sa mission préjudicielle. Un tel pouvoir, même s’il n’empêche pas la mise en œuvre du renvoi préjudiciel, a tendance à porter un coup dur à l’effectivité dudit renvoi. Ce pouvoir du juge communautaire </w:t>
      </w:r>
      <w:r w:rsidR="00F45C97">
        <w:rPr>
          <w:rFonts w:ascii="Times New Roman" w:hAnsi="Times New Roman" w:cs="Times New Roman"/>
          <w:sz w:val="24"/>
          <w:szCs w:val="24"/>
        </w:rPr>
        <w:t xml:space="preserve">concerne d’une part </w:t>
      </w:r>
      <w:r w:rsidRPr="00FE3083">
        <w:rPr>
          <w:rFonts w:ascii="Times New Roman" w:hAnsi="Times New Roman" w:cs="Times New Roman"/>
          <w:sz w:val="24"/>
          <w:szCs w:val="24"/>
        </w:rPr>
        <w:t xml:space="preserve">la reformulation de la question nationale </w:t>
      </w:r>
      <w:r w:rsidRPr="00FE3083">
        <w:rPr>
          <w:rFonts w:ascii="Times New Roman" w:hAnsi="Times New Roman" w:cs="Times New Roman"/>
          <w:b/>
          <w:sz w:val="24"/>
          <w:szCs w:val="24"/>
        </w:rPr>
        <w:t>(A)</w:t>
      </w:r>
      <w:r w:rsidR="002529F1">
        <w:rPr>
          <w:rFonts w:ascii="Times New Roman" w:hAnsi="Times New Roman" w:cs="Times New Roman"/>
          <w:b/>
          <w:sz w:val="24"/>
          <w:szCs w:val="24"/>
        </w:rPr>
        <w:t>,</w:t>
      </w:r>
      <w:r w:rsidR="00F45C97">
        <w:rPr>
          <w:rFonts w:ascii="Times New Roman" w:hAnsi="Times New Roman" w:cs="Times New Roman"/>
          <w:sz w:val="24"/>
          <w:szCs w:val="24"/>
        </w:rPr>
        <w:t xml:space="preserve">et d’autre part le </w:t>
      </w:r>
      <w:r w:rsidRPr="00FE3083">
        <w:rPr>
          <w:rFonts w:ascii="Times New Roman" w:hAnsi="Times New Roman" w:cs="Times New Roman"/>
          <w:sz w:val="24"/>
          <w:szCs w:val="24"/>
        </w:rPr>
        <w:t xml:space="preserve">choix de la question à laquelle répondre </w:t>
      </w:r>
      <w:r w:rsidRPr="00FE3083">
        <w:rPr>
          <w:rFonts w:ascii="Times New Roman" w:hAnsi="Times New Roman" w:cs="Times New Roman"/>
          <w:b/>
          <w:sz w:val="24"/>
          <w:szCs w:val="24"/>
        </w:rPr>
        <w:t>(B)</w:t>
      </w:r>
      <w:r w:rsidRPr="00FE3083">
        <w:rPr>
          <w:rFonts w:ascii="Times New Roman" w:hAnsi="Times New Roman" w:cs="Times New Roman"/>
          <w:sz w:val="24"/>
          <w:szCs w:val="24"/>
        </w:rPr>
        <w:t>.</w:t>
      </w:r>
    </w:p>
    <w:p w:rsidR="00694424" w:rsidRPr="00340B30" w:rsidRDefault="00694424" w:rsidP="0037430F">
      <w:pPr>
        <w:pStyle w:val="Titre5"/>
      </w:pPr>
      <w:bookmarkStart w:id="84" w:name="_Toc518672823"/>
      <w:r w:rsidRPr="00340B30">
        <w:t>A. La reformulation de la question</w:t>
      </w:r>
      <w:bookmarkEnd w:id="84"/>
    </w:p>
    <w:p w:rsidR="0073016B"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En principe, la formulation de la question est l’œuvre du juge national</w:t>
      </w:r>
      <w:r w:rsidR="00E73B4C" w:rsidRPr="00695693">
        <w:rPr>
          <w:rStyle w:val="Appelnotedebasdep"/>
          <w:rFonts w:ascii="Times New Roman" w:hAnsi="Times New Roman" w:cs="Times New Roman"/>
          <w:sz w:val="24"/>
          <w:szCs w:val="24"/>
        </w:rPr>
        <w:footnoteReference w:id="289"/>
      </w:r>
      <w:r w:rsidRPr="00695693">
        <w:rPr>
          <w:rFonts w:ascii="Times New Roman" w:hAnsi="Times New Roman" w:cs="Times New Roman"/>
          <w:sz w:val="24"/>
          <w:szCs w:val="24"/>
        </w:rPr>
        <w:t xml:space="preserve"> qui dispose de la liberté d’apprécier la nécessité d’un renvoi et de choisir le moment de saisir la Cour</w:t>
      </w:r>
      <w:r w:rsidRPr="00695693">
        <w:rPr>
          <w:rStyle w:val="Appelnotedebasdep"/>
          <w:rFonts w:ascii="Times New Roman" w:hAnsi="Times New Roman" w:cs="Times New Roman"/>
          <w:sz w:val="24"/>
          <w:szCs w:val="24"/>
        </w:rPr>
        <w:footnoteReference w:id="290"/>
      </w:r>
      <w:r w:rsidR="00E92DA3" w:rsidRPr="00695693">
        <w:rPr>
          <w:rFonts w:ascii="Times New Roman" w:hAnsi="Times New Roman" w:cs="Times New Roman"/>
          <w:sz w:val="24"/>
          <w:szCs w:val="24"/>
        </w:rPr>
        <w:t xml:space="preserve">. La </w:t>
      </w:r>
      <w:r w:rsidR="00E92DA3" w:rsidRPr="00695693">
        <w:rPr>
          <w:rFonts w:ascii="Times New Roman" w:hAnsi="Times New Roman" w:cs="Times New Roman"/>
          <w:sz w:val="24"/>
          <w:szCs w:val="24"/>
        </w:rPr>
        <w:lastRenderedPageBreak/>
        <w:t>Cour de j</w:t>
      </w:r>
      <w:r w:rsidRPr="00695693">
        <w:rPr>
          <w:rFonts w:ascii="Times New Roman" w:hAnsi="Times New Roman" w:cs="Times New Roman"/>
          <w:sz w:val="24"/>
          <w:szCs w:val="24"/>
        </w:rPr>
        <w:t>ustice « </w:t>
      </w:r>
      <w:r w:rsidRPr="00695693">
        <w:rPr>
          <w:rFonts w:ascii="Times New Roman" w:hAnsi="Times New Roman" w:cs="Times New Roman"/>
          <w:i/>
          <w:sz w:val="24"/>
          <w:szCs w:val="24"/>
        </w:rPr>
        <w:t>ne devait pas cesser d’affirmer cette maitrise du juge national sur les questions qu’il pose, se refusant tout à la fois à en contrôler la formulation et à en apprécier la pertinence pour la solution du litige</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291"/>
      </w:r>
      <w:r w:rsidR="003B55CF" w:rsidRPr="00695693">
        <w:rPr>
          <w:rFonts w:ascii="Times New Roman" w:hAnsi="Times New Roman" w:cs="Times New Roman"/>
          <w:sz w:val="24"/>
          <w:szCs w:val="24"/>
        </w:rPr>
        <w:t>. Toutefois, elle</w:t>
      </w:r>
      <w:r w:rsidRPr="00695693">
        <w:rPr>
          <w:rFonts w:ascii="Times New Roman" w:hAnsi="Times New Roman" w:cs="Times New Roman"/>
          <w:sz w:val="24"/>
          <w:szCs w:val="24"/>
        </w:rPr>
        <w:t xml:space="preserve"> peut être amenée à reformuler les questions qui lui sont posées dès lors qu’elles ne sont pas formulées en termes clairs. Le souci de la Cour, en procédant à une nouvelle formulation, sera alors de « </w:t>
      </w:r>
      <w:r w:rsidRPr="00695693">
        <w:rPr>
          <w:rFonts w:ascii="Times New Roman" w:hAnsi="Times New Roman" w:cs="Times New Roman"/>
          <w:i/>
          <w:sz w:val="24"/>
          <w:szCs w:val="24"/>
        </w:rPr>
        <w:t>dégager elle-même les points sur lesquels le juge de renvoi lui semble désirer recevoir une réponse</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292"/>
      </w:r>
      <w:r w:rsidRPr="00695693">
        <w:rPr>
          <w:rFonts w:ascii="Times New Roman" w:hAnsi="Times New Roman" w:cs="Times New Roman"/>
          <w:sz w:val="24"/>
          <w:szCs w:val="24"/>
        </w:rPr>
        <w:t xml:space="preserve">. C’est en ce sens qu’on parle du pouvoir </w:t>
      </w:r>
      <w:r w:rsidR="00E92DA3" w:rsidRPr="00695693">
        <w:rPr>
          <w:rFonts w:ascii="Times New Roman" w:hAnsi="Times New Roman" w:cs="Times New Roman"/>
          <w:sz w:val="24"/>
          <w:szCs w:val="24"/>
        </w:rPr>
        <w:t>de reformulation de la Cour de j</w:t>
      </w:r>
      <w:r w:rsidR="0073016B">
        <w:rPr>
          <w:rFonts w:ascii="Times New Roman" w:hAnsi="Times New Roman" w:cs="Times New Roman"/>
          <w:sz w:val="24"/>
          <w:szCs w:val="24"/>
        </w:rPr>
        <w:t>ustice.</w:t>
      </w:r>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Un tel pouvoir, s’il peut se justifier par la plénitude de la compétence de la Cour pour apprécier et interpréter le droit de la communauté, n’est pas sans poser de</w:t>
      </w:r>
      <w:r w:rsidR="007C6EE1">
        <w:rPr>
          <w:rFonts w:ascii="Times New Roman" w:hAnsi="Times New Roman" w:cs="Times New Roman"/>
          <w:sz w:val="24"/>
          <w:szCs w:val="24"/>
        </w:rPr>
        <w:t>s</w:t>
      </w:r>
      <w:r w:rsidRPr="00695693">
        <w:rPr>
          <w:rFonts w:ascii="Times New Roman" w:hAnsi="Times New Roman" w:cs="Times New Roman"/>
          <w:sz w:val="24"/>
          <w:szCs w:val="24"/>
        </w:rPr>
        <w:t xml:space="preserve"> difficultés</w:t>
      </w:r>
      <w:r w:rsidR="00305B51">
        <w:rPr>
          <w:rFonts w:ascii="Times New Roman" w:hAnsi="Times New Roman" w:cs="Times New Roman"/>
          <w:sz w:val="24"/>
          <w:szCs w:val="24"/>
        </w:rPr>
        <w:t xml:space="preserve"> à l’effectivité du mécanisme de</w:t>
      </w:r>
      <w:r w:rsidRPr="00695693">
        <w:rPr>
          <w:rFonts w:ascii="Times New Roman" w:hAnsi="Times New Roman" w:cs="Times New Roman"/>
          <w:sz w:val="24"/>
          <w:szCs w:val="24"/>
        </w:rPr>
        <w:t xml:space="preserve"> renvoi préjudiciel. Il en sera ainsi dès que la réponse de la Cour aura distancé les questions initialement posées par la juridiction nationale. Cela semble évident puisque quand la Cour s’arroge le pouvoir de reformuler la question du juge national, la probabilité pour elle d’ajouter des éléments nouveaux est forte, et que la réception de sa réponse par la juridiction de r</w:t>
      </w:r>
      <w:r w:rsidR="00E92DA3" w:rsidRPr="00695693">
        <w:rPr>
          <w:rFonts w:ascii="Times New Roman" w:hAnsi="Times New Roman" w:cs="Times New Roman"/>
          <w:sz w:val="24"/>
          <w:szCs w:val="24"/>
        </w:rPr>
        <w:t xml:space="preserve">envoi n’est pas sans encombre. </w:t>
      </w:r>
      <w:r w:rsidRPr="00695693">
        <w:rPr>
          <w:rFonts w:ascii="Times New Roman" w:hAnsi="Times New Roman" w:cs="Times New Roman"/>
          <w:sz w:val="24"/>
          <w:szCs w:val="24"/>
        </w:rPr>
        <w:t xml:space="preserve">Un autre problème qui peut découler du pouvoir de reformulation de la Cour est que celle-ci peut décider de limiter sa décision à l’interprétation d’une règle communautaire alors que la question de validité avait été soulevée et inversement par la juridiction nationale. </w:t>
      </w:r>
      <w:r w:rsidR="00DB56C7">
        <w:rPr>
          <w:rFonts w:ascii="Times New Roman" w:hAnsi="Times New Roman" w:cs="Times New Roman"/>
          <w:sz w:val="24"/>
          <w:szCs w:val="24"/>
        </w:rPr>
        <w:t xml:space="preserve">Cette </w:t>
      </w:r>
      <w:r w:rsidRPr="00695693">
        <w:rPr>
          <w:rFonts w:ascii="Times New Roman" w:hAnsi="Times New Roman" w:cs="Times New Roman"/>
          <w:sz w:val="24"/>
          <w:szCs w:val="24"/>
        </w:rPr>
        <w:t xml:space="preserve">situation </w:t>
      </w:r>
      <w:r w:rsidR="00DB56C7">
        <w:rPr>
          <w:rFonts w:ascii="Times New Roman" w:hAnsi="Times New Roman" w:cs="Times New Roman"/>
          <w:sz w:val="24"/>
          <w:szCs w:val="24"/>
        </w:rPr>
        <w:t xml:space="preserve">est </w:t>
      </w:r>
      <w:r w:rsidR="000F3998">
        <w:rPr>
          <w:rFonts w:ascii="Times New Roman" w:hAnsi="Times New Roman" w:cs="Times New Roman"/>
          <w:sz w:val="24"/>
          <w:szCs w:val="24"/>
        </w:rPr>
        <w:t xml:space="preserve">fréquente </w:t>
      </w:r>
      <w:r w:rsidR="00DB56C7">
        <w:rPr>
          <w:rFonts w:ascii="Times New Roman" w:hAnsi="Times New Roman" w:cs="Times New Roman"/>
          <w:sz w:val="24"/>
          <w:szCs w:val="24"/>
        </w:rPr>
        <w:t>dans la jurisprudence de la CJCE, notamment dans l’</w:t>
      </w:r>
      <w:r w:rsidR="008C3BF5" w:rsidRPr="00695693">
        <w:rPr>
          <w:rFonts w:ascii="Times New Roman" w:hAnsi="Times New Roman" w:cs="Times New Roman"/>
          <w:sz w:val="24"/>
          <w:szCs w:val="24"/>
        </w:rPr>
        <w:t xml:space="preserve">arrêt </w:t>
      </w:r>
      <w:r w:rsidR="008C3BF5" w:rsidRPr="00695693">
        <w:rPr>
          <w:rFonts w:ascii="Times New Roman" w:hAnsi="Times New Roman" w:cs="Times New Roman"/>
          <w:i/>
          <w:sz w:val="24"/>
          <w:szCs w:val="24"/>
        </w:rPr>
        <w:t>Kruger</w:t>
      </w:r>
      <w:r w:rsidR="008C3BF5" w:rsidRPr="00695693">
        <w:rPr>
          <w:rFonts w:ascii="Times New Roman" w:hAnsi="Times New Roman" w:cs="Times New Roman"/>
          <w:sz w:val="24"/>
          <w:szCs w:val="24"/>
        </w:rPr>
        <w:t xml:space="preserve"> du 17 j</w:t>
      </w:r>
      <w:r w:rsidRPr="00695693">
        <w:rPr>
          <w:rFonts w:ascii="Times New Roman" w:hAnsi="Times New Roman" w:cs="Times New Roman"/>
          <w:sz w:val="24"/>
          <w:szCs w:val="24"/>
        </w:rPr>
        <w:t>uillet 1997</w:t>
      </w:r>
      <w:r w:rsidRPr="00695693">
        <w:rPr>
          <w:rStyle w:val="Appelnotedebasdep"/>
          <w:rFonts w:ascii="Times New Roman" w:hAnsi="Times New Roman" w:cs="Times New Roman"/>
          <w:sz w:val="24"/>
          <w:szCs w:val="24"/>
        </w:rPr>
        <w:footnoteReference w:id="293"/>
      </w:r>
      <w:r w:rsidR="00767677">
        <w:rPr>
          <w:rFonts w:ascii="Times New Roman" w:hAnsi="Times New Roman" w:cs="Times New Roman"/>
          <w:sz w:val="24"/>
          <w:szCs w:val="24"/>
        </w:rPr>
        <w:t xml:space="preserve"> où </w:t>
      </w:r>
      <w:r w:rsidRPr="00695693">
        <w:rPr>
          <w:rFonts w:ascii="Times New Roman" w:hAnsi="Times New Roman" w:cs="Times New Roman"/>
          <w:sz w:val="24"/>
          <w:szCs w:val="24"/>
        </w:rPr>
        <w:t xml:space="preserve">la Cour </w:t>
      </w:r>
      <w:r w:rsidR="00767677">
        <w:rPr>
          <w:rFonts w:ascii="Times New Roman" w:hAnsi="Times New Roman" w:cs="Times New Roman"/>
          <w:sz w:val="24"/>
          <w:szCs w:val="24"/>
        </w:rPr>
        <w:t>s’est c</w:t>
      </w:r>
      <w:r w:rsidR="00A925D6">
        <w:rPr>
          <w:rFonts w:ascii="Times New Roman" w:hAnsi="Times New Roman" w:cs="Times New Roman"/>
          <w:sz w:val="24"/>
          <w:szCs w:val="24"/>
        </w:rPr>
        <w:t xml:space="preserve">ontentée d’interpréter l’acte </w:t>
      </w:r>
      <w:r w:rsidR="0008535F">
        <w:rPr>
          <w:rFonts w:ascii="Times New Roman" w:hAnsi="Times New Roman" w:cs="Times New Roman"/>
          <w:sz w:val="24"/>
          <w:szCs w:val="24"/>
        </w:rPr>
        <w:t xml:space="preserve">communautaire </w:t>
      </w:r>
      <w:r w:rsidR="00A925D6">
        <w:rPr>
          <w:rFonts w:ascii="Times New Roman" w:hAnsi="Times New Roman" w:cs="Times New Roman"/>
          <w:sz w:val="24"/>
          <w:szCs w:val="24"/>
        </w:rPr>
        <w:t>en cause alors que la question de la validité avait été posée par la juridiction de renvoi</w:t>
      </w:r>
      <w:r w:rsidRPr="00695693">
        <w:rPr>
          <w:rStyle w:val="Appelnotedebasdep"/>
          <w:rFonts w:ascii="Times New Roman" w:hAnsi="Times New Roman" w:cs="Times New Roman"/>
          <w:sz w:val="24"/>
          <w:szCs w:val="24"/>
        </w:rPr>
        <w:footnoteReference w:id="294"/>
      </w:r>
      <w:r w:rsidRPr="00695693">
        <w:rPr>
          <w:rFonts w:ascii="Times New Roman" w:hAnsi="Times New Roman" w:cs="Times New Roman"/>
          <w:sz w:val="24"/>
          <w:szCs w:val="24"/>
        </w:rPr>
        <w:t xml:space="preserve">. Dans une autre affaire, la CJCE s’est déjà </w:t>
      </w:r>
      <w:r w:rsidRPr="00695693">
        <w:rPr>
          <w:rFonts w:ascii="Times New Roman" w:hAnsi="Times New Roman" w:cs="Times New Roman"/>
          <w:sz w:val="24"/>
          <w:szCs w:val="24"/>
        </w:rPr>
        <w:lastRenderedPageBreak/>
        <w:t>prononcée sur la validité d’unedisposition communautaire alors que la juridiction nationale ne posait qu’une question d’interprétation</w:t>
      </w:r>
      <w:r w:rsidRPr="00695693">
        <w:rPr>
          <w:rStyle w:val="Appelnotedebasdep"/>
          <w:rFonts w:ascii="Times New Roman" w:hAnsi="Times New Roman" w:cs="Times New Roman"/>
          <w:sz w:val="24"/>
          <w:szCs w:val="24"/>
        </w:rPr>
        <w:footnoteReference w:id="295"/>
      </w:r>
      <w:r w:rsidRPr="00695693">
        <w:rPr>
          <w:rFonts w:ascii="Times New Roman" w:hAnsi="Times New Roman" w:cs="Times New Roman"/>
          <w:sz w:val="24"/>
          <w:szCs w:val="24"/>
        </w:rPr>
        <w:t>.</w:t>
      </w:r>
    </w:p>
    <w:p w:rsidR="00694424" w:rsidRPr="0033224D"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Cependant, malgré les inconvénients qui peuvent découler de ce pouvoir de reformulation de la Cour, il n’est pas exclu qu’un tel pouvoir peut </w:t>
      </w:r>
      <w:r w:rsidR="008356D7" w:rsidRPr="00695693">
        <w:rPr>
          <w:rFonts w:ascii="Times New Roman" w:hAnsi="Times New Roman" w:cs="Times New Roman"/>
          <w:sz w:val="24"/>
          <w:szCs w:val="24"/>
        </w:rPr>
        <w:t xml:space="preserve">comporter </w:t>
      </w:r>
      <w:r w:rsidRPr="00695693">
        <w:rPr>
          <w:rFonts w:ascii="Times New Roman" w:hAnsi="Times New Roman" w:cs="Times New Roman"/>
          <w:sz w:val="24"/>
          <w:szCs w:val="24"/>
        </w:rPr>
        <w:t>des avantages. Ainsi, on sait que la Cour n’est pas compétente pour statuer sur la compatibilité d’une disposition nationale avec le droit communautaire. Si</w:t>
      </w:r>
      <w:r w:rsidR="008356D7" w:rsidRPr="00695693">
        <w:rPr>
          <w:rFonts w:ascii="Times New Roman" w:hAnsi="Times New Roman" w:cs="Times New Roman"/>
          <w:sz w:val="24"/>
          <w:szCs w:val="24"/>
        </w:rPr>
        <w:t xml:space="preserve"> elle se trouv</w:t>
      </w:r>
      <w:r w:rsidRPr="00695693">
        <w:rPr>
          <w:rFonts w:ascii="Times New Roman" w:hAnsi="Times New Roman" w:cs="Times New Roman"/>
          <w:sz w:val="24"/>
          <w:szCs w:val="24"/>
        </w:rPr>
        <w:t>ait en face d’une question de ce genre, il lui</w:t>
      </w:r>
      <w:r w:rsidR="00BB2AA2" w:rsidRPr="00695693">
        <w:rPr>
          <w:rFonts w:ascii="Times New Roman" w:hAnsi="Times New Roman" w:cs="Times New Roman"/>
          <w:sz w:val="24"/>
          <w:szCs w:val="24"/>
        </w:rPr>
        <w:t xml:space="preserve"> aurait été souhaitable</w:t>
      </w:r>
      <w:r w:rsidRPr="00695693">
        <w:rPr>
          <w:rFonts w:ascii="Times New Roman" w:hAnsi="Times New Roman" w:cs="Times New Roman"/>
          <w:sz w:val="24"/>
          <w:szCs w:val="24"/>
        </w:rPr>
        <w:t xml:space="preserve"> de reformuler la question de façon à fournir tous les éléments d’interprétation permettant au juge de renvoi d’apprécier cette compatibilité afin de solutionner le litige pendant devant lui. </w:t>
      </w:r>
      <w:r w:rsidRPr="0033224D">
        <w:rPr>
          <w:rFonts w:ascii="Times New Roman" w:hAnsi="Times New Roman" w:cs="Times New Roman"/>
          <w:sz w:val="24"/>
          <w:szCs w:val="24"/>
        </w:rPr>
        <w:t>Autrement dit, au lieu de se déclarer incompétente, la Cour peut reformuler la question de manière à statuer dans le cadre de sa compétence préjudicielle.</w:t>
      </w:r>
    </w:p>
    <w:p w:rsidR="00185D9B" w:rsidRDefault="00E92DA3"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En droit UEMOA, la Cour de j</w:t>
      </w:r>
      <w:r w:rsidR="00694424" w:rsidRPr="00695693">
        <w:rPr>
          <w:rFonts w:ascii="Times New Roman" w:hAnsi="Times New Roman" w:cs="Times New Roman"/>
          <w:sz w:val="24"/>
          <w:szCs w:val="24"/>
        </w:rPr>
        <w:t>ustice aurait pu reformuler la question posée par la Cour de cassation du Burkina Faso comme elle l’avait fai</w:t>
      </w:r>
      <w:r w:rsidRPr="00695693">
        <w:rPr>
          <w:rFonts w:ascii="Times New Roman" w:hAnsi="Times New Roman" w:cs="Times New Roman"/>
          <w:sz w:val="24"/>
          <w:szCs w:val="24"/>
        </w:rPr>
        <w:t>t le 12 j</w:t>
      </w:r>
      <w:r w:rsidR="00694424" w:rsidRPr="00695693">
        <w:rPr>
          <w:rFonts w:ascii="Times New Roman" w:hAnsi="Times New Roman" w:cs="Times New Roman"/>
          <w:sz w:val="24"/>
          <w:szCs w:val="24"/>
        </w:rPr>
        <w:t>anvier 2005, à l’occasion du renvoi exercé par le Conseil d’Etat Sénégalais. Dans ce dernier cas, la Cour semble s’opposer à la demande du juge Sénégalais quand elle relève que « </w:t>
      </w:r>
      <w:r w:rsidR="00694424" w:rsidRPr="00695693">
        <w:rPr>
          <w:rFonts w:ascii="Times New Roman" w:hAnsi="Times New Roman" w:cs="Times New Roman"/>
          <w:i/>
          <w:sz w:val="24"/>
          <w:szCs w:val="24"/>
        </w:rPr>
        <w:t>la question telle qu’elle a été posée n’est pas une question préjudicielle de type classique prévue par l’article 12 du Protocole additionnel n°1</w:t>
      </w:r>
      <w:r w:rsidR="00694424" w:rsidRPr="00695693">
        <w:rPr>
          <w:rFonts w:ascii="Times New Roman" w:hAnsi="Times New Roman" w:cs="Times New Roman"/>
          <w:sz w:val="24"/>
          <w:szCs w:val="24"/>
        </w:rPr>
        <w:t> »</w:t>
      </w:r>
      <w:r w:rsidR="00694424" w:rsidRPr="00695693">
        <w:rPr>
          <w:rStyle w:val="Appelnotedebasdep"/>
          <w:rFonts w:ascii="Times New Roman" w:hAnsi="Times New Roman" w:cs="Times New Roman"/>
          <w:sz w:val="24"/>
          <w:szCs w:val="24"/>
        </w:rPr>
        <w:footnoteReference w:id="296"/>
      </w:r>
      <w:r w:rsidR="00694424" w:rsidRPr="00695693">
        <w:rPr>
          <w:rFonts w:ascii="Times New Roman" w:hAnsi="Times New Roman" w:cs="Times New Roman"/>
          <w:sz w:val="24"/>
          <w:szCs w:val="24"/>
        </w:rPr>
        <w:t>. C’est pourquoi elle se reconnait</w:t>
      </w:r>
      <w:r w:rsidR="00276CB1" w:rsidRPr="00695693">
        <w:rPr>
          <w:rFonts w:ascii="Times New Roman" w:hAnsi="Times New Roman" w:cs="Times New Roman"/>
          <w:sz w:val="24"/>
          <w:szCs w:val="24"/>
        </w:rPr>
        <w:t xml:space="preserve"> le droit de la modifier.</w:t>
      </w:r>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En tout état de cause, force est de noter qu’en matière préjudicielle le pouvoir de reformulation de la Cour a des incidences quant à l’effectivité du renvoi.</w:t>
      </w:r>
      <w:r w:rsidR="00A765F5">
        <w:rPr>
          <w:rFonts w:ascii="Times New Roman" w:hAnsi="Times New Roman" w:cs="Times New Roman"/>
          <w:sz w:val="24"/>
          <w:szCs w:val="24"/>
        </w:rPr>
        <w:t xml:space="preserve"> Cependant</w:t>
      </w:r>
      <w:r w:rsidRPr="00695693">
        <w:rPr>
          <w:rFonts w:ascii="Times New Roman" w:hAnsi="Times New Roman" w:cs="Times New Roman"/>
          <w:sz w:val="24"/>
          <w:szCs w:val="24"/>
        </w:rPr>
        <w:t xml:space="preserve">, dans certaines hypothèses, la Cour peut décider non pas de </w:t>
      </w:r>
      <w:r w:rsidR="00A765F5">
        <w:rPr>
          <w:rFonts w:ascii="Times New Roman" w:hAnsi="Times New Roman" w:cs="Times New Roman"/>
          <w:sz w:val="24"/>
          <w:szCs w:val="24"/>
        </w:rPr>
        <w:t xml:space="preserve">penser </w:t>
      </w:r>
      <w:r w:rsidRPr="00695693">
        <w:rPr>
          <w:rFonts w:ascii="Times New Roman" w:hAnsi="Times New Roman" w:cs="Times New Roman"/>
          <w:sz w:val="24"/>
          <w:szCs w:val="24"/>
        </w:rPr>
        <w:t xml:space="preserve">à </w:t>
      </w:r>
      <w:r w:rsidR="00A765F5">
        <w:rPr>
          <w:rFonts w:ascii="Times New Roman" w:hAnsi="Times New Roman" w:cs="Times New Roman"/>
          <w:sz w:val="24"/>
          <w:szCs w:val="24"/>
        </w:rPr>
        <w:t xml:space="preserve">son pouvoir de </w:t>
      </w:r>
      <w:r w:rsidRPr="00695693">
        <w:rPr>
          <w:rFonts w:ascii="Times New Roman" w:hAnsi="Times New Roman" w:cs="Times New Roman"/>
          <w:sz w:val="24"/>
          <w:szCs w:val="24"/>
        </w:rPr>
        <w:t xml:space="preserve">reformulation, mais de </w:t>
      </w:r>
      <w:r w:rsidR="00A765F5">
        <w:rPr>
          <w:rFonts w:ascii="Times New Roman" w:hAnsi="Times New Roman" w:cs="Times New Roman"/>
          <w:sz w:val="24"/>
          <w:szCs w:val="24"/>
        </w:rPr>
        <w:t xml:space="preserve">procéder au choix de la question </w:t>
      </w:r>
      <w:r w:rsidRPr="00695693">
        <w:rPr>
          <w:rFonts w:ascii="Times New Roman" w:hAnsi="Times New Roman" w:cs="Times New Roman"/>
          <w:sz w:val="24"/>
          <w:szCs w:val="24"/>
        </w:rPr>
        <w:t xml:space="preserve">à </w:t>
      </w:r>
      <w:r w:rsidR="00214A73" w:rsidRPr="00695693">
        <w:rPr>
          <w:rFonts w:ascii="Times New Roman" w:hAnsi="Times New Roman" w:cs="Times New Roman"/>
          <w:sz w:val="24"/>
          <w:szCs w:val="24"/>
        </w:rPr>
        <w:t xml:space="preserve">laquelle </w:t>
      </w:r>
      <w:r w:rsidRPr="00695693">
        <w:rPr>
          <w:rFonts w:ascii="Times New Roman" w:hAnsi="Times New Roman" w:cs="Times New Roman"/>
          <w:sz w:val="24"/>
          <w:szCs w:val="24"/>
        </w:rPr>
        <w:t>répondre.</w:t>
      </w:r>
    </w:p>
    <w:p w:rsidR="00694424" w:rsidRPr="00340B30" w:rsidRDefault="00694424" w:rsidP="0037430F">
      <w:pPr>
        <w:pStyle w:val="Titre5"/>
      </w:pPr>
      <w:bookmarkStart w:id="85" w:name="_Toc518672824"/>
      <w:r w:rsidRPr="00340B30">
        <w:t xml:space="preserve">B. Le choix de la question à </w:t>
      </w:r>
      <w:r w:rsidR="000E719F" w:rsidRPr="00340B30">
        <w:t xml:space="preserve">laquelle </w:t>
      </w:r>
      <w:r w:rsidRPr="00340B30">
        <w:t>répondre</w:t>
      </w:r>
      <w:bookmarkEnd w:id="85"/>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Le choix de la question à </w:t>
      </w:r>
      <w:r w:rsidR="000E719F" w:rsidRPr="00695693">
        <w:rPr>
          <w:rFonts w:ascii="Times New Roman" w:hAnsi="Times New Roman" w:cs="Times New Roman"/>
          <w:sz w:val="24"/>
          <w:szCs w:val="24"/>
        </w:rPr>
        <w:t xml:space="preserve">laquelle </w:t>
      </w:r>
      <w:r w:rsidRPr="00695693">
        <w:rPr>
          <w:rFonts w:ascii="Times New Roman" w:hAnsi="Times New Roman" w:cs="Times New Roman"/>
          <w:sz w:val="24"/>
          <w:szCs w:val="24"/>
        </w:rPr>
        <w:t>répondre signifie pour le juge communautaire de ne pas suivre l’</w:t>
      </w:r>
      <w:r w:rsidR="000E719F" w:rsidRPr="00695693">
        <w:rPr>
          <w:rFonts w:ascii="Times New Roman" w:hAnsi="Times New Roman" w:cs="Times New Roman"/>
          <w:sz w:val="24"/>
          <w:szCs w:val="24"/>
        </w:rPr>
        <w:t>ordre des questions qui lui est</w:t>
      </w:r>
      <w:r w:rsidRPr="00695693">
        <w:rPr>
          <w:rFonts w:ascii="Times New Roman" w:hAnsi="Times New Roman" w:cs="Times New Roman"/>
          <w:sz w:val="24"/>
          <w:szCs w:val="24"/>
        </w:rPr>
        <w:t xml:space="preserve"> soumis pour donner sa réponse à la j</w:t>
      </w:r>
      <w:r w:rsidR="003B55CF" w:rsidRPr="00695693">
        <w:rPr>
          <w:rFonts w:ascii="Times New Roman" w:hAnsi="Times New Roman" w:cs="Times New Roman"/>
          <w:sz w:val="24"/>
          <w:szCs w:val="24"/>
        </w:rPr>
        <w:t>uridiction de renvoi. Ceci indique</w:t>
      </w:r>
      <w:r w:rsidRPr="00695693">
        <w:rPr>
          <w:rFonts w:ascii="Times New Roman" w:hAnsi="Times New Roman" w:cs="Times New Roman"/>
          <w:sz w:val="24"/>
          <w:szCs w:val="24"/>
        </w:rPr>
        <w:t xml:space="preserve"> qu’en cas de plur</w:t>
      </w:r>
      <w:r w:rsidR="00E92DA3" w:rsidRPr="00695693">
        <w:rPr>
          <w:rFonts w:ascii="Times New Roman" w:hAnsi="Times New Roman" w:cs="Times New Roman"/>
          <w:sz w:val="24"/>
          <w:szCs w:val="24"/>
        </w:rPr>
        <w:t>alité de questions, la Cour de j</w:t>
      </w:r>
      <w:r w:rsidRPr="00695693">
        <w:rPr>
          <w:rFonts w:ascii="Times New Roman" w:hAnsi="Times New Roman" w:cs="Times New Roman"/>
          <w:sz w:val="24"/>
          <w:szCs w:val="24"/>
        </w:rPr>
        <w:t xml:space="preserve">ustice n’est pas liée de façon stricte par les termes dans lesquels ces questions sont formulées. Elle ne tient pas compte de leur classement ou ordonnancement pour y répondre. Elle peut inverser l’ordre ou </w:t>
      </w:r>
      <w:r w:rsidRPr="00695693">
        <w:rPr>
          <w:rFonts w:ascii="Times New Roman" w:hAnsi="Times New Roman" w:cs="Times New Roman"/>
          <w:sz w:val="24"/>
          <w:szCs w:val="24"/>
        </w:rPr>
        <w:lastRenderedPageBreak/>
        <w:t>l’agencement des questions tout comme elle peut « </w:t>
      </w:r>
      <w:r w:rsidRPr="00695693">
        <w:rPr>
          <w:rFonts w:ascii="Times New Roman" w:hAnsi="Times New Roman" w:cs="Times New Roman"/>
          <w:i/>
          <w:sz w:val="24"/>
          <w:szCs w:val="24"/>
        </w:rPr>
        <w:t>les bloquer pour y répondre globalement</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297"/>
      </w:r>
      <w:r w:rsidRPr="00695693">
        <w:rPr>
          <w:rFonts w:ascii="Times New Roman" w:hAnsi="Times New Roman" w:cs="Times New Roman"/>
          <w:sz w:val="24"/>
          <w:szCs w:val="24"/>
        </w:rPr>
        <w:t>. Son seul souci sera de fournir une réponse effectivement utile pour la rés</w:t>
      </w:r>
      <w:r w:rsidR="003B55CF" w:rsidRPr="00695693">
        <w:rPr>
          <w:rFonts w:ascii="Times New Roman" w:hAnsi="Times New Roman" w:cs="Times New Roman"/>
          <w:sz w:val="24"/>
          <w:szCs w:val="24"/>
        </w:rPr>
        <w:t xml:space="preserve">olution du litige au principal. </w:t>
      </w:r>
      <w:r w:rsidRPr="00695693">
        <w:rPr>
          <w:rFonts w:ascii="Times New Roman" w:hAnsi="Times New Roman" w:cs="Times New Roman"/>
          <w:sz w:val="24"/>
          <w:szCs w:val="24"/>
        </w:rPr>
        <w:t>Toutefois, il y a lieu de préciser que cette marge de manœuvre de l’organe judiciaire communautaire ne s’applique qu’en cas de pluralité de questions. Ceci implique qu’elle ne s’a</w:t>
      </w:r>
      <w:r w:rsidR="00E92DA3" w:rsidRPr="00695693">
        <w:rPr>
          <w:rFonts w:ascii="Times New Roman" w:hAnsi="Times New Roman" w:cs="Times New Roman"/>
          <w:sz w:val="24"/>
          <w:szCs w:val="24"/>
        </w:rPr>
        <w:t>pplique pas lorsque la Cour de j</w:t>
      </w:r>
      <w:r w:rsidRPr="00695693">
        <w:rPr>
          <w:rFonts w:ascii="Times New Roman" w:hAnsi="Times New Roman" w:cs="Times New Roman"/>
          <w:sz w:val="24"/>
          <w:szCs w:val="24"/>
        </w:rPr>
        <w:t>ustice est saisie d’une seule question. En matière préjudicielle, cette marge d’appréciation du juge communautaire a, à la fois, des avantages et des inconvénients.</w:t>
      </w:r>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S’agissant des avantages, le choix de la question a le mérite de permettre à la Cour de répondre utile à la question et d’économiser le renvoi en question. Répondre utile à la qu</w:t>
      </w:r>
      <w:r w:rsidR="00E92DA3" w:rsidRPr="00695693">
        <w:rPr>
          <w:rFonts w:ascii="Times New Roman" w:hAnsi="Times New Roman" w:cs="Times New Roman"/>
          <w:sz w:val="24"/>
          <w:szCs w:val="24"/>
        </w:rPr>
        <w:t>estion signifie que la Cour de j</w:t>
      </w:r>
      <w:r w:rsidRPr="00695693">
        <w:rPr>
          <w:rFonts w:ascii="Times New Roman" w:hAnsi="Times New Roman" w:cs="Times New Roman"/>
          <w:sz w:val="24"/>
          <w:szCs w:val="24"/>
        </w:rPr>
        <w:t xml:space="preserve">ustice peut décider de répondre en premier lieu à la question qui lui parait la plus utile pour la résolution du litige au principal avant d’attaquer les autres questions. Economiser le renvoi en question veut dire que l’organe </w:t>
      </w:r>
      <w:r w:rsidR="00276CB1" w:rsidRPr="00695693">
        <w:rPr>
          <w:rFonts w:ascii="Times New Roman" w:hAnsi="Times New Roman" w:cs="Times New Roman"/>
          <w:sz w:val="24"/>
          <w:szCs w:val="24"/>
        </w:rPr>
        <w:t xml:space="preserve">judiciaire </w:t>
      </w:r>
      <w:r w:rsidRPr="00695693">
        <w:rPr>
          <w:rFonts w:ascii="Times New Roman" w:hAnsi="Times New Roman" w:cs="Times New Roman"/>
          <w:sz w:val="24"/>
          <w:szCs w:val="24"/>
        </w:rPr>
        <w:t>communautaire peut décider soit de laisser une question sans réponse dès lors qu’il estime que les réponses données aux autres questions ne rendent plus indispensable une réponse à celle-ci</w:t>
      </w:r>
      <w:r w:rsidRPr="00695693">
        <w:rPr>
          <w:rStyle w:val="Appelnotedebasdep"/>
          <w:rFonts w:ascii="Times New Roman" w:hAnsi="Times New Roman" w:cs="Times New Roman"/>
          <w:sz w:val="24"/>
          <w:szCs w:val="24"/>
        </w:rPr>
        <w:footnoteReference w:id="298"/>
      </w:r>
      <w:r w:rsidRPr="00695693">
        <w:rPr>
          <w:rFonts w:ascii="Times New Roman" w:hAnsi="Times New Roman" w:cs="Times New Roman"/>
          <w:sz w:val="24"/>
          <w:szCs w:val="24"/>
        </w:rPr>
        <w:t>, soit de refuser catégoriquement de répondre à une question qu’il considère sans objet</w:t>
      </w:r>
      <w:r w:rsidRPr="00695693">
        <w:rPr>
          <w:rStyle w:val="Appelnotedebasdep"/>
          <w:rFonts w:ascii="Times New Roman" w:hAnsi="Times New Roman" w:cs="Times New Roman"/>
          <w:sz w:val="24"/>
          <w:szCs w:val="24"/>
        </w:rPr>
        <w:footnoteReference w:id="299"/>
      </w:r>
      <w:r w:rsidRPr="00695693">
        <w:rPr>
          <w:rFonts w:ascii="Times New Roman" w:hAnsi="Times New Roman" w:cs="Times New Roman"/>
          <w:sz w:val="24"/>
          <w:szCs w:val="24"/>
        </w:rPr>
        <w:t>.</w:t>
      </w:r>
    </w:p>
    <w:p w:rsidR="00694424" w:rsidRPr="00695693" w:rsidRDefault="0073016B" w:rsidP="006956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S’agissant </w:t>
      </w:r>
      <w:r w:rsidR="00694424" w:rsidRPr="00695693">
        <w:rPr>
          <w:rFonts w:ascii="Times New Roman" w:hAnsi="Times New Roman" w:cs="Times New Roman"/>
          <w:sz w:val="24"/>
          <w:szCs w:val="24"/>
        </w:rPr>
        <w:t xml:space="preserve">des inconvénients, notons qu’en procédant au choix de la question à </w:t>
      </w:r>
      <w:r w:rsidR="000E719F" w:rsidRPr="00695693">
        <w:rPr>
          <w:rFonts w:ascii="Times New Roman" w:hAnsi="Times New Roman" w:cs="Times New Roman"/>
          <w:sz w:val="24"/>
          <w:szCs w:val="24"/>
        </w:rPr>
        <w:t xml:space="preserve">laquelle </w:t>
      </w:r>
      <w:r w:rsidR="00694424" w:rsidRPr="00695693">
        <w:rPr>
          <w:rFonts w:ascii="Times New Roman" w:hAnsi="Times New Roman" w:cs="Times New Roman"/>
          <w:sz w:val="24"/>
          <w:szCs w:val="24"/>
        </w:rPr>
        <w:t>répondre, en cas de plur</w:t>
      </w:r>
      <w:r w:rsidR="00E92DA3" w:rsidRPr="00695693">
        <w:rPr>
          <w:rFonts w:ascii="Times New Roman" w:hAnsi="Times New Roman" w:cs="Times New Roman"/>
          <w:sz w:val="24"/>
          <w:szCs w:val="24"/>
        </w:rPr>
        <w:t>alité de questions, la Cour de j</w:t>
      </w:r>
      <w:r w:rsidR="00694424" w:rsidRPr="00695693">
        <w:rPr>
          <w:rFonts w:ascii="Times New Roman" w:hAnsi="Times New Roman" w:cs="Times New Roman"/>
          <w:sz w:val="24"/>
          <w:szCs w:val="24"/>
        </w:rPr>
        <w:t>ustice risquerait de ne pas prendre en considération toutes les préoccupat</w:t>
      </w:r>
      <w:r w:rsidR="00276CB1" w:rsidRPr="00695693">
        <w:rPr>
          <w:rFonts w:ascii="Times New Roman" w:hAnsi="Times New Roman" w:cs="Times New Roman"/>
          <w:sz w:val="24"/>
          <w:szCs w:val="24"/>
        </w:rPr>
        <w:t>ions du juge de</w:t>
      </w:r>
      <w:r w:rsidR="00694424" w:rsidRPr="00695693">
        <w:rPr>
          <w:rFonts w:ascii="Times New Roman" w:hAnsi="Times New Roman" w:cs="Times New Roman"/>
          <w:sz w:val="24"/>
          <w:szCs w:val="24"/>
        </w:rPr>
        <w:t xml:space="preserve"> renvoi. C’est pourquoi il aurait été préférable pour le juge communautaire de répondre question par question en vue de prendre en charge toutes les préoccupations du juge national, auteur de la question.</w:t>
      </w:r>
    </w:p>
    <w:p w:rsidR="00AF06E5" w:rsidRDefault="0070702C"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Somme </w:t>
      </w:r>
      <w:r w:rsidR="00694424" w:rsidRPr="00695693">
        <w:rPr>
          <w:rFonts w:ascii="Times New Roman" w:hAnsi="Times New Roman" w:cs="Times New Roman"/>
          <w:sz w:val="24"/>
          <w:szCs w:val="24"/>
        </w:rPr>
        <w:t>toute,</w:t>
      </w:r>
      <w:r w:rsidR="00843C79" w:rsidRPr="00695693">
        <w:rPr>
          <w:rFonts w:ascii="Times New Roman" w:hAnsi="Times New Roman" w:cs="Times New Roman"/>
          <w:sz w:val="24"/>
          <w:szCs w:val="24"/>
        </w:rPr>
        <w:t xml:space="preserve"> les différents obstacles procéduraux examinés ci-dessus, alors </w:t>
      </w:r>
      <w:r w:rsidRPr="00695693">
        <w:rPr>
          <w:rFonts w:ascii="Times New Roman" w:hAnsi="Times New Roman" w:cs="Times New Roman"/>
          <w:sz w:val="24"/>
          <w:szCs w:val="24"/>
        </w:rPr>
        <w:t xml:space="preserve">même </w:t>
      </w:r>
      <w:r w:rsidR="00843C79" w:rsidRPr="00695693">
        <w:rPr>
          <w:rFonts w:ascii="Times New Roman" w:hAnsi="Times New Roman" w:cs="Times New Roman"/>
          <w:sz w:val="24"/>
          <w:szCs w:val="24"/>
        </w:rPr>
        <w:t>qu’ils n’</w:t>
      </w:r>
      <w:r w:rsidR="00A55219" w:rsidRPr="00695693">
        <w:rPr>
          <w:rFonts w:ascii="Times New Roman" w:hAnsi="Times New Roman" w:cs="Times New Roman"/>
          <w:sz w:val="24"/>
          <w:szCs w:val="24"/>
        </w:rPr>
        <w:t>empêchent</w:t>
      </w:r>
      <w:r w:rsidR="00843C79" w:rsidRPr="00695693">
        <w:rPr>
          <w:rFonts w:ascii="Times New Roman" w:hAnsi="Times New Roman" w:cs="Times New Roman"/>
          <w:sz w:val="24"/>
          <w:szCs w:val="24"/>
        </w:rPr>
        <w:t xml:space="preserve"> pas la mise en œuvre totale du renvoi préjudiciel, ont tendance à limiter l’effectivité dudit renvoi.</w:t>
      </w:r>
      <w:r w:rsidR="00F44DB9" w:rsidRPr="00695693">
        <w:rPr>
          <w:rFonts w:ascii="Times New Roman" w:hAnsi="Times New Roman" w:cs="Times New Roman"/>
          <w:sz w:val="24"/>
          <w:szCs w:val="24"/>
        </w:rPr>
        <w:t xml:space="preserve"> Cependant, à ces obstacles s’ajoutent d’autres qui sont d’ordre matériels.</w:t>
      </w:r>
    </w:p>
    <w:p w:rsidR="00694424" w:rsidRPr="00AF06E5" w:rsidRDefault="00694424" w:rsidP="005B471C">
      <w:pPr>
        <w:pStyle w:val="Titre2"/>
        <w:rPr>
          <w:sz w:val="24"/>
          <w:szCs w:val="24"/>
        </w:rPr>
      </w:pPr>
      <w:bookmarkStart w:id="86" w:name="_Toc515108234"/>
      <w:bookmarkStart w:id="87" w:name="_Toc518671715"/>
      <w:bookmarkStart w:id="88" w:name="_Toc518672825"/>
      <w:r w:rsidRPr="006A0F3E">
        <w:lastRenderedPageBreak/>
        <w:t xml:space="preserve">CHAPITRE </w:t>
      </w:r>
      <w:r w:rsidR="00036959" w:rsidRPr="006A0F3E">
        <w:t>II</w:t>
      </w:r>
      <w:r w:rsidRPr="006A0F3E">
        <w:t> : LES ENTRAVES MATERIELLES EMPECHANT LE RECOURS AU RENVOI PREJUDICIEL</w:t>
      </w:r>
      <w:bookmarkEnd w:id="86"/>
      <w:bookmarkEnd w:id="87"/>
      <w:bookmarkEnd w:id="88"/>
    </w:p>
    <w:p w:rsidR="00694424" w:rsidRPr="00695693" w:rsidRDefault="00B615EA"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Les </w:t>
      </w:r>
      <w:r w:rsidR="00694424" w:rsidRPr="00695693">
        <w:rPr>
          <w:rFonts w:ascii="Times New Roman" w:hAnsi="Times New Roman" w:cs="Times New Roman"/>
          <w:sz w:val="24"/>
          <w:szCs w:val="24"/>
        </w:rPr>
        <w:t xml:space="preserve">difficultés </w:t>
      </w:r>
      <w:r w:rsidRPr="00695693">
        <w:rPr>
          <w:rFonts w:ascii="Times New Roman" w:hAnsi="Times New Roman" w:cs="Times New Roman"/>
          <w:sz w:val="24"/>
          <w:szCs w:val="24"/>
        </w:rPr>
        <w:t xml:space="preserve">matérielles </w:t>
      </w:r>
      <w:r w:rsidR="00A46F9C">
        <w:rPr>
          <w:rFonts w:ascii="Times New Roman" w:hAnsi="Times New Roman" w:cs="Times New Roman"/>
          <w:sz w:val="24"/>
          <w:szCs w:val="24"/>
        </w:rPr>
        <w:t xml:space="preserve">peuvent être qualifiées comme celles </w:t>
      </w:r>
      <w:r w:rsidR="00A46F9C" w:rsidRPr="00375755">
        <w:rPr>
          <w:rFonts w:ascii="Times New Roman" w:hAnsi="Times New Roman" w:cs="Times New Roman"/>
          <w:sz w:val="24"/>
          <w:szCs w:val="24"/>
        </w:rPr>
        <w:t>empêchant l’exploitation</w:t>
      </w:r>
      <w:r w:rsidR="00375755" w:rsidRPr="00375755">
        <w:rPr>
          <w:rFonts w:ascii="Times New Roman" w:hAnsi="Times New Roman" w:cs="Times New Roman"/>
          <w:sz w:val="24"/>
          <w:szCs w:val="24"/>
        </w:rPr>
        <w:t xml:space="preserve">concrète </w:t>
      </w:r>
      <w:r w:rsidR="00A46F9C" w:rsidRPr="00375755">
        <w:rPr>
          <w:rFonts w:ascii="Times New Roman" w:hAnsi="Times New Roman" w:cs="Times New Roman"/>
          <w:sz w:val="24"/>
          <w:szCs w:val="24"/>
        </w:rPr>
        <w:t xml:space="preserve">du mécanisme </w:t>
      </w:r>
      <w:r w:rsidR="00375755" w:rsidRPr="00375755">
        <w:rPr>
          <w:rFonts w:ascii="Times New Roman" w:hAnsi="Times New Roman" w:cs="Times New Roman"/>
          <w:sz w:val="24"/>
          <w:szCs w:val="24"/>
        </w:rPr>
        <w:t xml:space="preserve">de renvoi </w:t>
      </w:r>
      <w:r w:rsidR="00A46F9C" w:rsidRPr="00375755">
        <w:rPr>
          <w:rFonts w:ascii="Times New Roman" w:hAnsi="Times New Roman" w:cs="Times New Roman"/>
          <w:sz w:val="24"/>
          <w:szCs w:val="24"/>
        </w:rPr>
        <w:t xml:space="preserve">préjudiciel. Elles </w:t>
      </w:r>
      <w:r w:rsidR="00694424" w:rsidRPr="00695693">
        <w:rPr>
          <w:rFonts w:ascii="Times New Roman" w:hAnsi="Times New Roman" w:cs="Times New Roman"/>
          <w:sz w:val="24"/>
          <w:szCs w:val="24"/>
        </w:rPr>
        <w:t>sont nombreuses et se retrouvent beaucoup plus dans le système communautaire Ouest-Africain  que dans celui de l’Union européenne</w:t>
      </w:r>
      <w:r w:rsidR="00694424" w:rsidRPr="00695693">
        <w:rPr>
          <w:rStyle w:val="Appelnotedebasdep"/>
          <w:rFonts w:ascii="Times New Roman" w:hAnsi="Times New Roman" w:cs="Times New Roman"/>
          <w:sz w:val="24"/>
          <w:szCs w:val="24"/>
        </w:rPr>
        <w:footnoteReference w:id="300"/>
      </w:r>
      <w:r w:rsidR="00694424" w:rsidRPr="00695693">
        <w:rPr>
          <w:rFonts w:ascii="Times New Roman" w:hAnsi="Times New Roman" w:cs="Times New Roman"/>
          <w:sz w:val="24"/>
          <w:szCs w:val="24"/>
        </w:rPr>
        <w:t>. En droit CEDEAO, ces difficultés</w:t>
      </w:r>
      <w:r w:rsidR="00043754" w:rsidRPr="00695693">
        <w:rPr>
          <w:rFonts w:ascii="Times New Roman" w:hAnsi="Times New Roman" w:cs="Times New Roman"/>
          <w:sz w:val="24"/>
          <w:szCs w:val="24"/>
        </w:rPr>
        <w:t>,</w:t>
      </w:r>
      <w:r w:rsidR="00714BDA" w:rsidRPr="00695693">
        <w:rPr>
          <w:rFonts w:ascii="Times New Roman" w:hAnsi="Times New Roman" w:cs="Times New Roman"/>
          <w:sz w:val="24"/>
          <w:szCs w:val="24"/>
        </w:rPr>
        <w:t xml:space="preserve">à la fois </w:t>
      </w:r>
      <w:r w:rsidR="00043754" w:rsidRPr="00695693">
        <w:rPr>
          <w:rFonts w:ascii="Times New Roman" w:hAnsi="Times New Roman" w:cs="Times New Roman"/>
          <w:sz w:val="24"/>
          <w:szCs w:val="24"/>
        </w:rPr>
        <w:t>objectives</w:t>
      </w:r>
      <w:r w:rsidR="00714BDA" w:rsidRPr="00695693">
        <w:rPr>
          <w:rFonts w:ascii="Times New Roman" w:hAnsi="Times New Roman" w:cs="Times New Roman"/>
          <w:sz w:val="24"/>
          <w:szCs w:val="24"/>
        </w:rPr>
        <w:t>et subjectives</w:t>
      </w:r>
      <w:r w:rsidR="00CC6A53">
        <w:rPr>
          <w:rFonts w:ascii="Times New Roman" w:hAnsi="Times New Roman" w:cs="Times New Roman"/>
          <w:sz w:val="24"/>
          <w:szCs w:val="24"/>
        </w:rPr>
        <w:t xml:space="preserve"> et</w:t>
      </w:r>
      <w:r w:rsidR="00694424" w:rsidRPr="00695693">
        <w:rPr>
          <w:rFonts w:ascii="Times New Roman" w:hAnsi="Times New Roman" w:cs="Times New Roman"/>
          <w:sz w:val="24"/>
          <w:szCs w:val="24"/>
        </w:rPr>
        <w:t xml:space="preserve"> liées </w:t>
      </w:r>
      <w:r w:rsidR="00714BDA" w:rsidRPr="00695693">
        <w:rPr>
          <w:rFonts w:ascii="Times New Roman" w:hAnsi="Times New Roman" w:cs="Times New Roman"/>
          <w:sz w:val="24"/>
          <w:szCs w:val="24"/>
        </w:rPr>
        <w:t xml:space="preserve">aussi bien </w:t>
      </w:r>
      <w:r w:rsidR="00694424" w:rsidRPr="00695693">
        <w:rPr>
          <w:rFonts w:ascii="Times New Roman" w:hAnsi="Times New Roman" w:cs="Times New Roman"/>
          <w:sz w:val="24"/>
          <w:szCs w:val="24"/>
        </w:rPr>
        <w:t xml:space="preserve">aux juges nationaux des Etats membres </w:t>
      </w:r>
      <w:r w:rsidR="00714BDA" w:rsidRPr="00695693">
        <w:rPr>
          <w:rFonts w:ascii="Times New Roman" w:hAnsi="Times New Roman" w:cs="Times New Roman"/>
          <w:sz w:val="24"/>
          <w:szCs w:val="24"/>
        </w:rPr>
        <w:t>qu’</w:t>
      </w:r>
      <w:r w:rsidR="00694424" w:rsidRPr="00695693">
        <w:rPr>
          <w:rFonts w:ascii="Times New Roman" w:hAnsi="Times New Roman" w:cs="Times New Roman"/>
          <w:sz w:val="24"/>
          <w:szCs w:val="24"/>
        </w:rPr>
        <w:t>à la C</w:t>
      </w:r>
      <w:r w:rsidR="00AD33AE" w:rsidRPr="00695693">
        <w:rPr>
          <w:rFonts w:ascii="Times New Roman" w:hAnsi="Times New Roman" w:cs="Times New Roman"/>
          <w:sz w:val="24"/>
          <w:szCs w:val="24"/>
        </w:rPr>
        <w:t>our de j</w:t>
      </w:r>
      <w:r w:rsidR="00DB6475" w:rsidRPr="00695693">
        <w:rPr>
          <w:rFonts w:ascii="Times New Roman" w:hAnsi="Times New Roman" w:cs="Times New Roman"/>
          <w:sz w:val="24"/>
          <w:szCs w:val="24"/>
        </w:rPr>
        <w:t>ustice de la Communauté CEDEAO</w:t>
      </w:r>
      <w:r w:rsidR="00043754" w:rsidRPr="00695693">
        <w:rPr>
          <w:rFonts w:ascii="Times New Roman" w:hAnsi="Times New Roman" w:cs="Times New Roman"/>
          <w:sz w:val="24"/>
          <w:szCs w:val="24"/>
        </w:rPr>
        <w:t>,</w:t>
      </w:r>
      <w:r w:rsidR="00DB6475" w:rsidRPr="00695693">
        <w:rPr>
          <w:rFonts w:ascii="Times New Roman" w:hAnsi="Times New Roman" w:cs="Times New Roman"/>
          <w:sz w:val="24"/>
          <w:szCs w:val="24"/>
        </w:rPr>
        <w:t xml:space="preserve"> se résument en </w:t>
      </w:r>
      <w:r w:rsidR="00694424" w:rsidRPr="00695693">
        <w:rPr>
          <w:rFonts w:ascii="Times New Roman" w:hAnsi="Times New Roman" w:cs="Times New Roman"/>
          <w:sz w:val="24"/>
          <w:szCs w:val="24"/>
        </w:rPr>
        <w:t xml:space="preserve">la ténacité des juridictions nationales </w:t>
      </w:r>
      <w:r w:rsidR="00694424" w:rsidRPr="00E5283E">
        <w:rPr>
          <w:rFonts w:ascii="Times New Roman" w:hAnsi="Times New Roman" w:cs="Times New Roman"/>
          <w:b/>
          <w:sz w:val="24"/>
          <w:szCs w:val="24"/>
        </w:rPr>
        <w:t>(</w:t>
      </w:r>
      <w:r w:rsidR="00694424" w:rsidRPr="00695693">
        <w:rPr>
          <w:rFonts w:ascii="Times New Roman" w:hAnsi="Times New Roman" w:cs="Times New Roman"/>
          <w:b/>
          <w:sz w:val="24"/>
          <w:szCs w:val="24"/>
        </w:rPr>
        <w:t xml:space="preserve">Section </w:t>
      </w:r>
      <w:r w:rsidR="00036959" w:rsidRPr="00695693">
        <w:rPr>
          <w:rFonts w:ascii="Times New Roman" w:hAnsi="Times New Roman" w:cs="Times New Roman"/>
          <w:b/>
          <w:sz w:val="24"/>
          <w:szCs w:val="24"/>
        </w:rPr>
        <w:t>I</w:t>
      </w:r>
      <w:r w:rsidR="00694424" w:rsidRPr="00E5283E">
        <w:rPr>
          <w:rFonts w:ascii="Times New Roman" w:hAnsi="Times New Roman" w:cs="Times New Roman"/>
          <w:b/>
          <w:sz w:val="24"/>
          <w:szCs w:val="24"/>
        </w:rPr>
        <w:t>)</w:t>
      </w:r>
      <w:r w:rsidR="00694424" w:rsidRPr="00695693">
        <w:rPr>
          <w:rFonts w:ascii="Times New Roman" w:hAnsi="Times New Roman" w:cs="Times New Roman"/>
          <w:sz w:val="24"/>
          <w:szCs w:val="24"/>
        </w:rPr>
        <w:t xml:space="preserve"> et la fragilité de la juridiction communautaire </w:t>
      </w:r>
      <w:r w:rsidR="00694424" w:rsidRPr="00E5283E">
        <w:rPr>
          <w:rFonts w:ascii="Times New Roman" w:hAnsi="Times New Roman" w:cs="Times New Roman"/>
          <w:b/>
          <w:sz w:val="24"/>
          <w:szCs w:val="24"/>
        </w:rPr>
        <w:t>(</w:t>
      </w:r>
      <w:r w:rsidR="00694424" w:rsidRPr="00695693">
        <w:rPr>
          <w:rFonts w:ascii="Times New Roman" w:hAnsi="Times New Roman" w:cs="Times New Roman"/>
          <w:b/>
          <w:sz w:val="24"/>
          <w:szCs w:val="24"/>
        </w:rPr>
        <w:t xml:space="preserve">Section </w:t>
      </w:r>
      <w:r w:rsidR="00036959" w:rsidRPr="00695693">
        <w:rPr>
          <w:rFonts w:ascii="Times New Roman" w:hAnsi="Times New Roman" w:cs="Times New Roman"/>
          <w:b/>
          <w:sz w:val="24"/>
          <w:szCs w:val="24"/>
        </w:rPr>
        <w:t>II</w:t>
      </w:r>
      <w:r w:rsidR="00694424" w:rsidRPr="00E5283E">
        <w:rPr>
          <w:rFonts w:ascii="Times New Roman" w:hAnsi="Times New Roman" w:cs="Times New Roman"/>
          <w:b/>
          <w:sz w:val="24"/>
          <w:szCs w:val="24"/>
        </w:rPr>
        <w:t>)</w:t>
      </w:r>
      <w:r w:rsidR="00694424" w:rsidRPr="00695693">
        <w:rPr>
          <w:rFonts w:ascii="Times New Roman" w:hAnsi="Times New Roman" w:cs="Times New Roman"/>
          <w:sz w:val="24"/>
          <w:szCs w:val="24"/>
        </w:rPr>
        <w:t>.</w:t>
      </w:r>
    </w:p>
    <w:p w:rsidR="00694424" w:rsidRPr="00695693" w:rsidRDefault="00694424" w:rsidP="007A4443">
      <w:pPr>
        <w:pStyle w:val="Titre3"/>
      </w:pPr>
      <w:bookmarkStart w:id="89" w:name="_Toc515108235"/>
      <w:bookmarkStart w:id="90" w:name="_Toc518671716"/>
      <w:bookmarkStart w:id="91" w:name="_Toc518672826"/>
      <w:r w:rsidRPr="00695693">
        <w:t xml:space="preserve">SECTION </w:t>
      </w:r>
      <w:r w:rsidR="00036959" w:rsidRPr="00695693">
        <w:t>I</w:t>
      </w:r>
      <w:r w:rsidRPr="00695693">
        <w:t> : LA TENACITE DES JURIDICTIONS NATIONALES</w:t>
      </w:r>
      <w:bookmarkEnd w:id="89"/>
      <w:bookmarkEnd w:id="90"/>
      <w:bookmarkEnd w:id="91"/>
    </w:p>
    <w:p w:rsidR="00694424" w:rsidRPr="00695693" w:rsidRDefault="00694424" w:rsidP="00695693">
      <w:pPr>
        <w:spacing w:line="360" w:lineRule="auto"/>
        <w:jc w:val="both"/>
        <w:rPr>
          <w:rFonts w:ascii="Times New Roman" w:hAnsi="Times New Roman" w:cs="Times New Roman"/>
          <w:color w:val="FF0000"/>
          <w:sz w:val="24"/>
          <w:szCs w:val="24"/>
        </w:rPr>
      </w:pPr>
      <w:r w:rsidRPr="00695693">
        <w:rPr>
          <w:rFonts w:ascii="Times New Roman" w:hAnsi="Times New Roman" w:cs="Times New Roman"/>
          <w:sz w:val="24"/>
          <w:szCs w:val="24"/>
        </w:rPr>
        <w:t xml:space="preserve">En consacrant le mécanisme du renvoi préjudiciel dans les termes de l’article 10, f du protocole d’Accra de 2005, le législateur CEDEAO </w:t>
      </w:r>
      <w:r w:rsidR="00E75D27">
        <w:rPr>
          <w:rFonts w:ascii="Times New Roman" w:hAnsi="Times New Roman" w:cs="Times New Roman"/>
          <w:sz w:val="24"/>
          <w:szCs w:val="24"/>
        </w:rPr>
        <w:t xml:space="preserve">semble vouloir le soumettre </w:t>
      </w:r>
      <w:r w:rsidRPr="00695693">
        <w:rPr>
          <w:rFonts w:ascii="Times New Roman" w:hAnsi="Times New Roman" w:cs="Times New Roman"/>
          <w:sz w:val="24"/>
          <w:szCs w:val="24"/>
        </w:rPr>
        <w:t>à la libre appréciation des juridictions nationales d</w:t>
      </w:r>
      <w:r w:rsidR="002D7339" w:rsidRPr="00695693">
        <w:rPr>
          <w:rFonts w:ascii="Times New Roman" w:hAnsi="Times New Roman" w:cs="Times New Roman"/>
          <w:sz w:val="24"/>
          <w:szCs w:val="24"/>
        </w:rPr>
        <w:t xml:space="preserve">es Etats membres. </w:t>
      </w:r>
      <w:r w:rsidRPr="00695693">
        <w:rPr>
          <w:rFonts w:ascii="Times New Roman" w:hAnsi="Times New Roman" w:cs="Times New Roman"/>
          <w:sz w:val="24"/>
          <w:szCs w:val="24"/>
        </w:rPr>
        <w:t>Néanmoins, ces instances</w:t>
      </w:r>
      <w:r w:rsidR="00AC5033" w:rsidRPr="00695693">
        <w:rPr>
          <w:rFonts w:ascii="Times New Roman" w:hAnsi="Times New Roman" w:cs="Times New Roman"/>
          <w:sz w:val="24"/>
          <w:szCs w:val="24"/>
        </w:rPr>
        <w:t xml:space="preserve"> nationales</w:t>
      </w:r>
      <w:r w:rsidRPr="00695693">
        <w:rPr>
          <w:rFonts w:ascii="Times New Roman" w:hAnsi="Times New Roman" w:cs="Times New Roman"/>
          <w:sz w:val="24"/>
          <w:szCs w:val="24"/>
        </w:rPr>
        <w:t xml:space="preserve"> semblent </w:t>
      </w:r>
      <w:r w:rsidR="00AC5033" w:rsidRPr="00695693">
        <w:rPr>
          <w:rFonts w:ascii="Times New Roman" w:hAnsi="Times New Roman" w:cs="Times New Roman"/>
          <w:sz w:val="24"/>
          <w:szCs w:val="24"/>
        </w:rPr>
        <w:t xml:space="preserve">soit </w:t>
      </w:r>
      <w:r w:rsidR="009F65A5" w:rsidRPr="00695693">
        <w:rPr>
          <w:rFonts w:ascii="Times New Roman" w:hAnsi="Times New Roman" w:cs="Times New Roman"/>
          <w:sz w:val="24"/>
          <w:szCs w:val="24"/>
        </w:rPr>
        <w:t xml:space="preserve">ignorer </w:t>
      </w:r>
      <w:r w:rsidR="005C3871" w:rsidRPr="00695693">
        <w:rPr>
          <w:rFonts w:ascii="Times New Roman" w:hAnsi="Times New Roman" w:cs="Times New Roman"/>
          <w:sz w:val="24"/>
          <w:szCs w:val="24"/>
        </w:rPr>
        <w:t xml:space="preserve">le droit CEDEAO </w:t>
      </w:r>
      <w:r w:rsidR="0025777F" w:rsidRPr="006236CE">
        <w:rPr>
          <w:rFonts w:ascii="Times New Roman" w:hAnsi="Times New Roman" w:cs="Times New Roman"/>
          <w:b/>
          <w:sz w:val="24"/>
          <w:szCs w:val="24"/>
        </w:rPr>
        <w:t>(</w:t>
      </w:r>
      <w:r w:rsidR="00036959" w:rsidRPr="006236CE">
        <w:rPr>
          <w:rFonts w:ascii="Times New Roman" w:hAnsi="Times New Roman" w:cs="Times New Roman"/>
          <w:b/>
          <w:sz w:val="24"/>
          <w:szCs w:val="24"/>
        </w:rPr>
        <w:t>§ 1</w:t>
      </w:r>
      <w:r w:rsidR="0025777F" w:rsidRPr="006236CE">
        <w:rPr>
          <w:rFonts w:ascii="Times New Roman" w:hAnsi="Times New Roman" w:cs="Times New Roman"/>
          <w:b/>
          <w:sz w:val="24"/>
          <w:szCs w:val="24"/>
        </w:rPr>
        <w:t>)</w:t>
      </w:r>
      <w:r w:rsidR="00AC5033" w:rsidRPr="00695693">
        <w:rPr>
          <w:rFonts w:ascii="Times New Roman" w:hAnsi="Times New Roman" w:cs="Times New Roman"/>
          <w:sz w:val="24"/>
          <w:szCs w:val="24"/>
        </w:rPr>
        <w:t>, soit</w:t>
      </w:r>
      <w:r w:rsidR="0025777F" w:rsidRPr="00695693">
        <w:rPr>
          <w:rFonts w:ascii="Times New Roman" w:hAnsi="Times New Roman" w:cs="Times New Roman"/>
          <w:sz w:val="24"/>
          <w:szCs w:val="24"/>
        </w:rPr>
        <w:t xml:space="preserve"> profiter </w:t>
      </w:r>
      <w:r w:rsidR="005C3871" w:rsidRPr="00695693">
        <w:rPr>
          <w:rFonts w:ascii="Times New Roman" w:hAnsi="Times New Roman" w:cs="Times New Roman"/>
          <w:sz w:val="24"/>
          <w:szCs w:val="24"/>
        </w:rPr>
        <w:t xml:space="preserve">de leur compétence discrétionnaire </w:t>
      </w:r>
      <w:r w:rsidR="0025777F" w:rsidRPr="00695693">
        <w:rPr>
          <w:rFonts w:ascii="Times New Roman" w:hAnsi="Times New Roman" w:cs="Times New Roman"/>
          <w:sz w:val="24"/>
          <w:szCs w:val="24"/>
        </w:rPr>
        <w:t xml:space="preserve">dans la mise en œuvre du renvoi préjudiciel </w:t>
      </w:r>
      <w:r w:rsidR="0025777F" w:rsidRPr="006236CE">
        <w:rPr>
          <w:rFonts w:ascii="Times New Roman" w:hAnsi="Times New Roman" w:cs="Times New Roman"/>
          <w:b/>
          <w:sz w:val="24"/>
          <w:szCs w:val="24"/>
        </w:rPr>
        <w:t>(</w:t>
      </w:r>
      <w:r w:rsidR="00036959" w:rsidRPr="006236CE">
        <w:rPr>
          <w:rFonts w:ascii="Times New Roman" w:hAnsi="Times New Roman" w:cs="Times New Roman"/>
          <w:b/>
          <w:sz w:val="24"/>
          <w:szCs w:val="24"/>
        </w:rPr>
        <w:t>§ 2</w:t>
      </w:r>
      <w:r w:rsidR="0025777F" w:rsidRPr="006236CE">
        <w:rPr>
          <w:rFonts w:ascii="Times New Roman" w:hAnsi="Times New Roman" w:cs="Times New Roman"/>
          <w:b/>
          <w:sz w:val="24"/>
          <w:szCs w:val="24"/>
        </w:rPr>
        <w:t>)</w:t>
      </w:r>
      <w:r w:rsidR="0025777F" w:rsidRPr="00695693">
        <w:rPr>
          <w:rFonts w:ascii="Times New Roman" w:hAnsi="Times New Roman" w:cs="Times New Roman"/>
          <w:sz w:val="24"/>
          <w:szCs w:val="24"/>
        </w:rPr>
        <w:t>.</w:t>
      </w:r>
    </w:p>
    <w:p w:rsidR="00694424" w:rsidRPr="00340B30" w:rsidRDefault="00036959" w:rsidP="002F7CA3">
      <w:pPr>
        <w:pStyle w:val="Titre4"/>
      </w:pPr>
      <w:bookmarkStart w:id="92" w:name="_Toc518672827"/>
      <w:r w:rsidRPr="00340B30">
        <w:t>§ 1</w:t>
      </w:r>
      <w:r w:rsidR="00694424" w:rsidRPr="00340B30">
        <w:t>: L’ignorance du droit CEDEAO par les juges nationaux</w:t>
      </w:r>
      <w:bookmarkEnd w:id="92"/>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Le mot ignorance, employé ici, </w:t>
      </w:r>
      <w:r w:rsidR="003C6D9D" w:rsidRPr="00695693">
        <w:rPr>
          <w:rFonts w:ascii="Times New Roman" w:hAnsi="Times New Roman" w:cs="Times New Roman"/>
          <w:sz w:val="24"/>
          <w:szCs w:val="24"/>
        </w:rPr>
        <w:t>s’entend</w:t>
      </w:r>
      <w:r w:rsidRPr="00695693">
        <w:rPr>
          <w:rFonts w:ascii="Times New Roman" w:hAnsi="Times New Roman" w:cs="Times New Roman"/>
          <w:sz w:val="24"/>
          <w:szCs w:val="24"/>
        </w:rPr>
        <w:t xml:space="preserve"> comme la non maitrise, voire la méconnaissance du droit CEDEAO par les juges nationaux. La raison de cette ignorance ou méconnaissance est à rechercher aussi bien dans le caractère émergent du droit CEDEAO </w:t>
      </w:r>
      <w:r w:rsidRPr="00086DE5">
        <w:rPr>
          <w:rFonts w:ascii="Times New Roman" w:hAnsi="Times New Roman" w:cs="Times New Roman"/>
          <w:b/>
          <w:sz w:val="24"/>
          <w:szCs w:val="24"/>
        </w:rPr>
        <w:t>(A)</w:t>
      </w:r>
      <w:r w:rsidR="00BC59F0">
        <w:rPr>
          <w:rFonts w:ascii="Times New Roman" w:hAnsi="Times New Roman" w:cs="Times New Roman"/>
          <w:sz w:val="24"/>
          <w:szCs w:val="24"/>
        </w:rPr>
        <w:t>,</w:t>
      </w:r>
      <w:r w:rsidRPr="00695693">
        <w:rPr>
          <w:rFonts w:ascii="Times New Roman" w:hAnsi="Times New Roman" w:cs="Times New Roman"/>
          <w:sz w:val="24"/>
          <w:szCs w:val="24"/>
        </w:rPr>
        <w:t xml:space="preserve"> que dans son caractère pluridisciplinaire </w:t>
      </w:r>
      <w:r w:rsidRPr="00086DE5">
        <w:rPr>
          <w:rFonts w:ascii="Times New Roman" w:hAnsi="Times New Roman" w:cs="Times New Roman"/>
          <w:b/>
          <w:sz w:val="24"/>
          <w:szCs w:val="24"/>
        </w:rPr>
        <w:t>(B)</w:t>
      </w:r>
      <w:r w:rsidRPr="00695693">
        <w:rPr>
          <w:rFonts w:ascii="Times New Roman" w:hAnsi="Times New Roman" w:cs="Times New Roman"/>
          <w:sz w:val="24"/>
          <w:szCs w:val="24"/>
        </w:rPr>
        <w:t>.</w:t>
      </w:r>
    </w:p>
    <w:p w:rsidR="00694424" w:rsidRPr="00340B30" w:rsidRDefault="00694424" w:rsidP="0037430F">
      <w:pPr>
        <w:pStyle w:val="Titre5"/>
      </w:pPr>
      <w:bookmarkStart w:id="93" w:name="_Toc518672828"/>
      <w:r w:rsidRPr="00340B30">
        <w:t>A. Un droit émergent</w:t>
      </w:r>
      <w:bookmarkEnd w:id="93"/>
    </w:p>
    <w:p w:rsidR="00694424" w:rsidRPr="00695693" w:rsidRDefault="00694424" w:rsidP="00695693">
      <w:pPr>
        <w:spacing w:line="360" w:lineRule="auto"/>
        <w:jc w:val="both"/>
        <w:rPr>
          <w:rFonts w:ascii="Times New Roman" w:hAnsi="Times New Roman" w:cs="Times New Roman"/>
          <w:color w:val="FF0000"/>
          <w:sz w:val="24"/>
          <w:szCs w:val="24"/>
        </w:rPr>
      </w:pPr>
      <w:r w:rsidRPr="00695693">
        <w:rPr>
          <w:rFonts w:ascii="Times New Roman" w:hAnsi="Times New Roman" w:cs="Times New Roman"/>
          <w:sz w:val="24"/>
          <w:szCs w:val="24"/>
        </w:rPr>
        <w:t>L’un des constats auxquels on est amené et qui pourrait justifier d’ailleurs l’inexistence du recours préjudiciel à la CJ/CEDEAO est la méconnaissance du droit CEDEAO par les juges nationaux des Etats membres et par les citoyens de l’espace CEDEAO. Cette méconnaissance du droit CEDEAO tient lieu de son caractère émergent, c’est-à-dire de sa jeunesse même si l’on considère la CEDEAO comme la doyenne</w:t>
      </w:r>
      <w:r w:rsidRPr="00695693">
        <w:rPr>
          <w:rStyle w:val="Appelnotedebasdep"/>
          <w:rFonts w:ascii="Times New Roman" w:hAnsi="Times New Roman" w:cs="Times New Roman"/>
          <w:sz w:val="24"/>
          <w:szCs w:val="24"/>
        </w:rPr>
        <w:footnoteReference w:id="301"/>
      </w:r>
      <w:r w:rsidRPr="00695693">
        <w:rPr>
          <w:rFonts w:ascii="Times New Roman" w:hAnsi="Times New Roman" w:cs="Times New Roman"/>
          <w:sz w:val="24"/>
          <w:szCs w:val="24"/>
        </w:rPr>
        <w:t xml:space="preserve"> des organisations d’intégrations Ouest-</w:t>
      </w:r>
      <w:r w:rsidRPr="00695693">
        <w:rPr>
          <w:rFonts w:ascii="Times New Roman" w:hAnsi="Times New Roman" w:cs="Times New Roman"/>
          <w:sz w:val="24"/>
          <w:szCs w:val="24"/>
        </w:rPr>
        <w:lastRenderedPageBreak/>
        <w:t>africaines</w:t>
      </w:r>
      <w:r w:rsidRPr="00695693">
        <w:rPr>
          <w:rStyle w:val="Appelnotedebasdep"/>
          <w:rFonts w:ascii="Times New Roman" w:hAnsi="Times New Roman" w:cs="Times New Roman"/>
          <w:sz w:val="24"/>
          <w:szCs w:val="24"/>
        </w:rPr>
        <w:footnoteReference w:id="302"/>
      </w:r>
      <w:r w:rsidRPr="00695693">
        <w:rPr>
          <w:rFonts w:ascii="Times New Roman" w:hAnsi="Times New Roman" w:cs="Times New Roman"/>
          <w:sz w:val="24"/>
          <w:szCs w:val="24"/>
        </w:rPr>
        <w:t>. En effet, le droit CEDEAO est né en même temps que l’organisation. Depuis sa création le 28 mai 1975, la CEDEAO s’est donné</w:t>
      </w:r>
      <w:r w:rsidR="003C6D9D" w:rsidRPr="00695693">
        <w:rPr>
          <w:rFonts w:ascii="Times New Roman" w:hAnsi="Times New Roman" w:cs="Times New Roman"/>
          <w:sz w:val="24"/>
          <w:szCs w:val="24"/>
        </w:rPr>
        <w:t>e</w:t>
      </w:r>
      <w:r w:rsidRPr="00695693">
        <w:rPr>
          <w:rFonts w:ascii="Times New Roman" w:hAnsi="Times New Roman" w:cs="Times New Roman"/>
          <w:sz w:val="24"/>
          <w:szCs w:val="24"/>
        </w:rPr>
        <w:t xml:space="preserve"> comme objectif la coopération régionale et l’intégration économique</w:t>
      </w:r>
      <w:r w:rsidR="00C71BFB" w:rsidRPr="00695693">
        <w:rPr>
          <w:rStyle w:val="Appelnotedebasdep"/>
          <w:rFonts w:ascii="Times New Roman" w:hAnsi="Times New Roman" w:cs="Times New Roman"/>
          <w:sz w:val="24"/>
          <w:szCs w:val="24"/>
        </w:rPr>
        <w:footnoteReference w:id="303"/>
      </w:r>
      <w:r w:rsidR="00C71BFB" w:rsidRPr="00695693">
        <w:rPr>
          <w:rFonts w:ascii="Times New Roman" w:hAnsi="Times New Roman" w:cs="Times New Roman"/>
          <w:sz w:val="24"/>
          <w:szCs w:val="24"/>
        </w:rPr>
        <w:t>.</w:t>
      </w:r>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En 1993, les Etats membres de la CEDEAO ont senti la nécessité de réviser le Traité de Lagos du 28 Mai 1975</w:t>
      </w:r>
      <w:r w:rsidRPr="00695693">
        <w:rPr>
          <w:rStyle w:val="Appelnotedebasdep"/>
          <w:rFonts w:ascii="Times New Roman" w:hAnsi="Times New Roman" w:cs="Times New Roman"/>
          <w:sz w:val="24"/>
          <w:szCs w:val="24"/>
        </w:rPr>
        <w:footnoteReference w:id="304"/>
      </w:r>
      <w:r w:rsidRPr="00695693">
        <w:rPr>
          <w:rFonts w:ascii="Times New Roman" w:hAnsi="Times New Roman" w:cs="Times New Roman"/>
          <w:sz w:val="24"/>
          <w:szCs w:val="24"/>
        </w:rPr>
        <w:t xml:space="preserve"> dans l’optique de faire élargir le champ d’activités de l’organisation. C’est de là alors que fut intervenue la révision fait</w:t>
      </w:r>
      <w:r w:rsidR="008C75D8" w:rsidRPr="00695693">
        <w:rPr>
          <w:rFonts w:ascii="Times New Roman" w:hAnsi="Times New Roman" w:cs="Times New Roman"/>
          <w:sz w:val="24"/>
          <w:szCs w:val="24"/>
        </w:rPr>
        <w:t>e</w:t>
      </w:r>
      <w:r w:rsidR="001304E2" w:rsidRPr="00695693">
        <w:rPr>
          <w:rFonts w:ascii="Times New Roman" w:hAnsi="Times New Roman" w:cs="Times New Roman"/>
          <w:sz w:val="24"/>
          <w:szCs w:val="24"/>
        </w:rPr>
        <w:t xml:space="preserve"> à Cotonou le 24 j</w:t>
      </w:r>
      <w:r w:rsidRPr="00695693">
        <w:rPr>
          <w:rFonts w:ascii="Times New Roman" w:hAnsi="Times New Roman" w:cs="Times New Roman"/>
          <w:sz w:val="24"/>
          <w:szCs w:val="24"/>
        </w:rPr>
        <w:t>uillet 1993. Au terme</w:t>
      </w:r>
      <w:r w:rsidR="00AC4AB0" w:rsidRPr="00695693">
        <w:rPr>
          <w:rFonts w:ascii="Times New Roman" w:hAnsi="Times New Roman" w:cs="Times New Roman"/>
          <w:sz w:val="24"/>
          <w:szCs w:val="24"/>
        </w:rPr>
        <w:t xml:space="preserve"> de cette révision, la Cour de j</w:t>
      </w:r>
      <w:r w:rsidRPr="00695693">
        <w:rPr>
          <w:rFonts w:ascii="Times New Roman" w:hAnsi="Times New Roman" w:cs="Times New Roman"/>
          <w:sz w:val="24"/>
          <w:szCs w:val="24"/>
        </w:rPr>
        <w:t>ustice de la Communauté a été mise en place</w:t>
      </w:r>
      <w:r w:rsidRPr="00695693">
        <w:rPr>
          <w:rStyle w:val="Appelnotedebasdep"/>
          <w:rFonts w:ascii="Times New Roman" w:hAnsi="Times New Roman" w:cs="Times New Roman"/>
          <w:sz w:val="24"/>
          <w:szCs w:val="24"/>
        </w:rPr>
        <w:footnoteReference w:id="305"/>
      </w:r>
      <w:r w:rsidR="008C75D8" w:rsidRPr="00695693">
        <w:rPr>
          <w:rFonts w:ascii="Times New Roman" w:hAnsi="Times New Roman" w:cs="Times New Roman"/>
          <w:sz w:val="24"/>
          <w:szCs w:val="24"/>
        </w:rPr>
        <w:t>et que l’organisation s’est vue</w:t>
      </w:r>
      <w:r w:rsidRPr="00695693">
        <w:rPr>
          <w:rFonts w:ascii="Times New Roman" w:hAnsi="Times New Roman" w:cs="Times New Roman"/>
          <w:sz w:val="24"/>
          <w:szCs w:val="24"/>
        </w:rPr>
        <w:t xml:space="preserve"> ses objectifs évolués. Il s’agit de réaliser l’intégration entre les Pays de l’Afrique de l’Ouest, en priorité sur le plan économique, mais également dans les autres domaines de la vie sociale afin de parvenir à un plus grand développement pour le bien être de population de l’espace CEDEAO</w:t>
      </w:r>
      <w:r w:rsidRPr="00695693">
        <w:rPr>
          <w:rStyle w:val="Appelnotedebasdep"/>
          <w:rFonts w:ascii="Times New Roman" w:hAnsi="Times New Roman" w:cs="Times New Roman"/>
          <w:sz w:val="24"/>
          <w:szCs w:val="24"/>
        </w:rPr>
        <w:footnoteReference w:id="306"/>
      </w:r>
      <w:r w:rsidRPr="00695693">
        <w:rPr>
          <w:rFonts w:ascii="Times New Roman" w:hAnsi="Times New Roman" w:cs="Times New Roman"/>
          <w:sz w:val="24"/>
          <w:szCs w:val="24"/>
        </w:rPr>
        <w:t>.</w:t>
      </w:r>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En 2006, la CEDEAO a changé sa structure centrale en passant d’un Secrétariat exécutif à une commission</w:t>
      </w:r>
      <w:r w:rsidRPr="00695693">
        <w:rPr>
          <w:rStyle w:val="Appelnotedebasdep"/>
          <w:rFonts w:ascii="Times New Roman" w:hAnsi="Times New Roman" w:cs="Times New Roman"/>
          <w:sz w:val="24"/>
          <w:szCs w:val="24"/>
        </w:rPr>
        <w:footnoteReference w:id="307"/>
      </w:r>
      <w:r w:rsidRPr="00695693">
        <w:rPr>
          <w:rFonts w:ascii="Times New Roman" w:hAnsi="Times New Roman" w:cs="Times New Roman"/>
          <w:sz w:val="24"/>
          <w:szCs w:val="24"/>
        </w:rPr>
        <w:t>, ce qui l’a rendu plus efficace et donné un nouvel élan au processus de l’intégration régional</w:t>
      </w:r>
      <w:r w:rsidR="008C75D8" w:rsidRPr="00695693">
        <w:rPr>
          <w:rFonts w:ascii="Times New Roman" w:hAnsi="Times New Roman" w:cs="Times New Roman"/>
          <w:sz w:val="24"/>
          <w:szCs w:val="24"/>
        </w:rPr>
        <w:t>e</w:t>
      </w:r>
      <w:r w:rsidRPr="00695693">
        <w:rPr>
          <w:rFonts w:ascii="Times New Roman" w:hAnsi="Times New Roman" w:cs="Times New Roman"/>
          <w:sz w:val="24"/>
          <w:szCs w:val="24"/>
        </w:rPr>
        <w:t>, parce que l’objectif serait l’établissement d’une Union économique en Afrique de l’Ouest</w:t>
      </w:r>
      <w:r w:rsidRPr="00695693">
        <w:rPr>
          <w:rStyle w:val="Appelnotedebasdep"/>
          <w:rFonts w:ascii="Times New Roman" w:hAnsi="Times New Roman" w:cs="Times New Roman"/>
          <w:sz w:val="24"/>
          <w:szCs w:val="24"/>
        </w:rPr>
        <w:footnoteReference w:id="308"/>
      </w:r>
      <w:r w:rsidRPr="00695693">
        <w:rPr>
          <w:rStyle w:val="Appelnotedebasdep"/>
          <w:rFonts w:ascii="Times New Roman" w:hAnsi="Times New Roman" w:cs="Times New Roman"/>
          <w:sz w:val="24"/>
          <w:szCs w:val="24"/>
        </w:rPr>
        <w:footnoteReference w:id="309"/>
      </w:r>
      <w:r w:rsidRPr="00695693">
        <w:rPr>
          <w:rFonts w:ascii="Times New Roman" w:hAnsi="Times New Roman" w:cs="Times New Roman"/>
          <w:sz w:val="24"/>
          <w:szCs w:val="24"/>
        </w:rPr>
        <w:t>. Toutefois, l’établissement d’une telle Union exige préalablement la réalisation d’une zone de libre échange (ZLE)</w:t>
      </w:r>
      <w:r w:rsidRPr="00695693">
        <w:rPr>
          <w:rStyle w:val="Appelnotedebasdep"/>
          <w:rFonts w:ascii="Times New Roman" w:hAnsi="Times New Roman" w:cs="Times New Roman"/>
          <w:sz w:val="24"/>
          <w:szCs w:val="24"/>
        </w:rPr>
        <w:footnoteReference w:id="310"/>
      </w:r>
      <w:r w:rsidRPr="00695693">
        <w:rPr>
          <w:rFonts w:ascii="Times New Roman" w:hAnsi="Times New Roman" w:cs="Times New Roman"/>
          <w:sz w:val="24"/>
          <w:szCs w:val="24"/>
        </w:rPr>
        <w:t>, d’une Union douanière (UD)</w:t>
      </w:r>
      <w:r w:rsidRPr="00695693">
        <w:rPr>
          <w:rStyle w:val="Appelnotedebasdep"/>
          <w:rFonts w:ascii="Times New Roman" w:hAnsi="Times New Roman" w:cs="Times New Roman"/>
          <w:sz w:val="24"/>
          <w:szCs w:val="24"/>
        </w:rPr>
        <w:footnoteReference w:id="311"/>
      </w:r>
      <w:r w:rsidRPr="00695693">
        <w:rPr>
          <w:rFonts w:ascii="Times New Roman" w:hAnsi="Times New Roman" w:cs="Times New Roman"/>
          <w:sz w:val="24"/>
          <w:szCs w:val="24"/>
        </w:rPr>
        <w:t xml:space="preserve"> et d’un marché commun (MC)</w:t>
      </w:r>
      <w:r w:rsidRPr="00695693">
        <w:rPr>
          <w:rStyle w:val="Appelnotedebasdep"/>
          <w:rFonts w:ascii="Times New Roman" w:hAnsi="Times New Roman" w:cs="Times New Roman"/>
          <w:sz w:val="24"/>
          <w:szCs w:val="24"/>
        </w:rPr>
        <w:footnoteReference w:id="312"/>
      </w:r>
      <w:r w:rsidRPr="00695693">
        <w:rPr>
          <w:rFonts w:ascii="Times New Roman" w:hAnsi="Times New Roman" w:cs="Times New Roman"/>
          <w:sz w:val="24"/>
          <w:szCs w:val="24"/>
        </w:rPr>
        <w:t xml:space="preserve">. Dans l’attente de ces objectifs, l’organisation, en plus de ces </w:t>
      </w:r>
      <w:r w:rsidRPr="00695693">
        <w:rPr>
          <w:rFonts w:ascii="Times New Roman" w:hAnsi="Times New Roman" w:cs="Times New Roman"/>
          <w:sz w:val="24"/>
          <w:szCs w:val="24"/>
        </w:rPr>
        <w:lastRenderedPageBreak/>
        <w:t>institutions, a adopté plusieurs instruments juridiques</w:t>
      </w:r>
      <w:r w:rsidR="00864221" w:rsidRPr="00695693">
        <w:rPr>
          <w:rFonts w:ascii="Times New Roman" w:hAnsi="Times New Roman" w:cs="Times New Roman"/>
          <w:sz w:val="24"/>
          <w:szCs w:val="24"/>
        </w:rPr>
        <w:t>, faisant parti du champ</w:t>
      </w:r>
      <w:r w:rsidR="00996532" w:rsidRPr="00695693">
        <w:rPr>
          <w:rFonts w:ascii="Times New Roman" w:hAnsi="Times New Roman" w:cs="Times New Roman"/>
          <w:sz w:val="24"/>
          <w:szCs w:val="24"/>
        </w:rPr>
        <w:t xml:space="preserve"> d’application de renvoi préjudiciel et</w:t>
      </w:r>
      <w:r w:rsidRPr="00695693">
        <w:rPr>
          <w:rFonts w:ascii="Times New Roman" w:hAnsi="Times New Roman" w:cs="Times New Roman"/>
          <w:sz w:val="24"/>
          <w:szCs w:val="24"/>
        </w:rPr>
        <w:t xml:space="preserve"> que les Etats membres doivent respecter, étant donné qu’ils sont tenus de faire concession de leur souveraineté</w:t>
      </w:r>
      <w:r w:rsidRPr="00695693">
        <w:rPr>
          <w:rStyle w:val="Appelnotedebasdep"/>
          <w:rFonts w:ascii="Times New Roman" w:hAnsi="Times New Roman" w:cs="Times New Roman"/>
          <w:sz w:val="24"/>
          <w:szCs w:val="24"/>
        </w:rPr>
        <w:footnoteReference w:id="313"/>
      </w:r>
      <w:r w:rsidRPr="00695693">
        <w:rPr>
          <w:rFonts w:ascii="Times New Roman" w:hAnsi="Times New Roman" w:cs="Times New Roman"/>
          <w:sz w:val="24"/>
          <w:szCs w:val="24"/>
        </w:rPr>
        <w:t>au profit de l’organisation.</w:t>
      </w:r>
    </w:p>
    <w:p w:rsidR="001E35C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Au vue de toutes ces considérations générales, on retiendra que ce qui rend la méconnaissance du droit CEDEAO, en dépit de son caractère jeune, c</w:t>
      </w:r>
      <w:r w:rsidR="0062552F" w:rsidRPr="00695693">
        <w:rPr>
          <w:rFonts w:ascii="Times New Roman" w:hAnsi="Times New Roman" w:cs="Times New Roman"/>
          <w:sz w:val="24"/>
          <w:szCs w:val="24"/>
        </w:rPr>
        <w:t xml:space="preserve">e sont </w:t>
      </w:r>
      <w:r w:rsidRPr="00695693">
        <w:rPr>
          <w:rFonts w:ascii="Times New Roman" w:hAnsi="Times New Roman" w:cs="Times New Roman"/>
          <w:sz w:val="24"/>
          <w:szCs w:val="24"/>
        </w:rPr>
        <w:t>les multiples variations, modifications ou changements apportés aux instruments formant ce droit. Or, pour reprendre les mots du Professeur IBRIGA, « </w:t>
      </w:r>
      <w:r w:rsidRPr="00695693">
        <w:rPr>
          <w:rFonts w:ascii="Times New Roman" w:hAnsi="Times New Roman" w:cs="Times New Roman"/>
          <w:i/>
          <w:sz w:val="24"/>
          <w:szCs w:val="24"/>
        </w:rPr>
        <w:t>il importe d’avoir toujours présent à l’esprit que trop de normes tuent la norme</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314"/>
      </w:r>
      <w:r w:rsidRPr="00695693">
        <w:rPr>
          <w:rFonts w:ascii="Times New Roman" w:hAnsi="Times New Roman" w:cs="Times New Roman"/>
          <w:sz w:val="24"/>
          <w:szCs w:val="24"/>
        </w:rPr>
        <w:t>. Les citoyens ne parviennent plus à suivre les multiples variations, changements ou modifications, de même que les magistrats qui composent la plupart des juridictions nationales des Etats membres. Or</w:t>
      </w:r>
      <w:r w:rsidR="008C75D8" w:rsidRPr="00695693">
        <w:rPr>
          <w:rFonts w:ascii="Times New Roman" w:hAnsi="Times New Roman" w:cs="Times New Roman"/>
          <w:sz w:val="24"/>
          <w:szCs w:val="24"/>
        </w:rPr>
        <w:t>,</w:t>
      </w:r>
      <w:r w:rsidRPr="00695693">
        <w:rPr>
          <w:rFonts w:ascii="Times New Roman" w:hAnsi="Times New Roman" w:cs="Times New Roman"/>
          <w:sz w:val="24"/>
          <w:szCs w:val="24"/>
        </w:rPr>
        <w:t xml:space="preserve"> pour que le renvoi préjudiciel soit effectif en droit CEDEAO,  les citoyens et les juges nationaux doivent en premier lieu avoir connaissance de ce droit, y compris les multiples évolutions, changements ou modifications apportés à ce droit. C’est pourquoi, il serait souhaitable pour les Etats membres d’intégrer le droit issu des sources communautaires parmi les matières à enseigner dans les écoles nationales de la magistrature. Il serait aussi nécessaire de propager l’enseignement de cette discipline dans toutes les </w:t>
      </w:r>
      <w:r w:rsidR="00663153" w:rsidRPr="00695693">
        <w:rPr>
          <w:rFonts w:ascii="Times New Roman" w:hAnsi="Times New Roman" w:cs="Times New Roman"/>
          <w:sz w:val="24"/>
          <w:szCs w:val="24"/>
        </w:rPr>
        <w:t xml:space="preserve">unités de formation et de recherche (UFR) </w:t>
      </w:r>
      <w:r w:rsidRPr="00695693">
        <w:rPr>
          <w:rFonts w:ascii="Times New Roman" w:hAnsi="Times New Roman" w:cs="Times New Roman"/>
          <w:sz w:val="24"/>
          <w:szCs w:val="24"/>
        </w:rPr>
        <w:t>et non seulement à l</w:t>
      </w:r>
      <w:r w:rsidR="00B92252" w:rsidRPr="00695693">
        <w:rPr>
          <w:rFonts w:ascii="Times New Roman" w:hAnsi="Times New Roman" w:cs="Times New Roman"/>
          <w:sz w:val="24"/>
          <w:szCs w:val="24"/>
        </w:rPr>
        <w:t>’unité de formation et de recherche en science juridique</w:t>
      </w:r>
      <w:r w:rsidRPr="00695693">
        <w:rPr>
          <w:rFonts w:ascii="Times New Roman" w:hAnsi="Times New Roman" w:cs="Times New Roman"/>
          <w:sz w:val="24"/>
          <w:szCs w:val="24"/>
        </w:rPr>
        <w:t xml:space="preserve">. Une telle initiative serait à même de permettre l’appropriation de ce droit  par le monde universitaire de façon générale et donc de l’invoquer devant le juge si toutefois l’occasion se présente. Il ne serait pas vain aussi pour chacun des Etats membres de créer les conditions nécessaires pour </w:t>
      </w:r>
      <w:r w:rsidR="00234083" w:rsidRPr="00695693">
        <w:rPr>
          <w:rFonts w:ascii="Times New Roman" w:hAnsi="Times New Roman" w:cs="Times New Roman"/>
          <w:sz w:val="24"/>
          <w:szCs w:val="24"/>
        </w:rPr>
        <w:t xml:space="preserve">vulgariser le droit CEDEAO à l’attention des citoyens communautaires et de </w:t>
      </w:r>
      <w:r w:rsidRPr="00695693">
        <w:rPr>
          <w:rFonts w:ascii="Times New Roman" w:hAnsi="Times New Roman" w:cs="Times New Roman"/>
          <w:sz w:val="24"/>
          <w:szCs w:val="24"/>
        </w:rPr>
        <w:t xml:space="preserve">la société civile en vue de leur sensibilisation. </w:t>
      </w:r>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Toutefois, une autre particularité du droit CEDEAO, susceptible de justifier sa méconnaissance par les peuples CEDEAO, c’est son aptitude à prendre en compte plusieurs disciplines : c’est en ce sens qu’on parle d</w:t>
      </w:r>
      <w:r w:rsidR="004A416F" w:rsidRPr="00695693">
        <w:rPr>
          <w:rFonts w:ascii="Times New Roman" w:hAnsi="Times New Roman" w:cs="Times New Roman"/>
          <w:sz w:val="24"/>
          <w:szCs w:val="24"/>
        </w:rPr>
        <w:t xml:space="preserve">’un droit </w:t>
      </w:r>
      <w:r w:rsidRPr="00695693">
        <w:rPr>
          <w:rFonts w:ascii="Times New Roman" w:hAnsi="Times New Roman" w:cs="Times New Roman"/>
          <w:sz w:val="24"/>
          <w:szCs w:val="24"/>
        </w:rPr>
        <w:t>pluridisciplinaire.</w:t>
      </w:r>
    </w:p>
    <w:p w:rsidR="00694424" w:rsidRPr="00340B30" w:rsidRDefault="00694424" w:rsidP="0037430F">
      <w:pPr>
        <w:pStyle w:val="Titre5"/>
      </w:pPr>
      <w:bookmarkStart w:id="94" w:name="_Toc518672829"/>
      <w:r w:rsidRPr="00340B30">
        <w:lastRenderedPageBreak/>
        <w:t>B. Un droit pluridisciplinaire</w:t>
      </w:r>
      <w:bookmarkEnd w:id="94"/>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Le caractère pluridisciplinaire du droit CEDEAO renvoie à sa capacité à prendre en compte plusieurs disciplines, relevant à la fois du droit in</w:t>
      </w:r>
      <w:r w:rsidR="00CB65B6">
        <w:rPr>
          <w:rFonts w:ascii="Times New Roman" w:hAnsi="Times New Roman" w:cs="Times New Roman"/>
          <w:sz w:val="24"/>
          <w:szCs w:val="24"/>
        </w:rPr>
        <w:t>terne et du droit international. Cependant</w:t>
      </w:r>
      <w:r w:rsidRPr="00695693">
        <w:rPr>
          <w:rFonts w:ascii="Times New Roman" w:hAnsi="Times New Roman" w:cs="Times New Roman"/>
          <w:sz w:val="24"/>
          <w:szCs w:val="24"/>
        </w:rPr>
        <w:t xml:space="preserve">, il faut dès lors souligner que le droit CEDEAO n’est ni du droit interne des Etats membres, ni même du droit international. Il est donc à cheval entre l’ordre juridique interne des Etats membres et </w:t>
      </w:r>
      <w:r w:rsidR="00D11F4D" w:rsidRPr="00695693">
        <w:rPr>
          <w:rFonts w:ascii="Times New Roman" w:hAnsi="Times New Roman" w:cs="Times New Roman"/>
          <w:sz w:val="24"/>
          <w:szCs w:val="24"/>
        </w:rPr>
        <w:t>l’ordre juridique international</w:t>
      </w:r>
      <w:r w:rsidRPr="00695693">
        <w:rPr>
          <w:rStyle w:val="Appelnotedebasdep"/>
          <w:rFonts w:ascii="Times New Roman" w:hAnsi="Times New Roman" w:cs="Times New Roman"/>
          <w:sz w:val="24"/>
          <w:szCs w:val="24"/>
        </w:rPr>
        <w:footnoteReference w:id="315"/>
      </w:r>
      <w:r w:rsidR="00EE391E" w:rsidRPr="00695693">
        <w:rPr>
          <w:rFonts w:ascii="Times New Roman" w:hAnsi="Times New Roman" w:cs="Times New Roman"/>
          <w:sz w:val="24"/>
          <w:szCs w:val="24"/>
        </w:rPr>
        <w:t xml:space="preserve">, </w:t>
      </w:r>
      <w:r w:rsidRPr="00695693">
        <w:rPr>
          <w:rFonts w:ascii="Times New Roman" w:hAnsi="Times New Roman" w:cs="Times New Roman"/>
          <w:sz w:val="24"/>
          <w:szCs w:val="24"/>
        </w:rPr>
        <w:t>avec « </w:t>
      </w:r>
      <w:r w:rsidRPr="00695693">
        <w:rPr>
          <w:rFonts w:ascii="Times New Roman" w:hAnsi="Times New Roman" w:cs="Times New Roman"/>
          <w:i/>
          <w:sz w:val="24"/>
          <w:szCs w:val="24"/>
        </w:rPr>
        <w:t>cette qualité supplémentaire qu’il couronne la hiérarchie des textes normatifs de chacun d’eux</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316"/>
      </w:r>
      <w:r w:rsidR="00EE391E" w:rsidRPr="00695693">
        <w:rPr>
          <w:rFonts w:ascii="Times New Roman" w:hAnsi="Times New Roman" w:cs="Times New Roman"/>
          <w:sz w:val="24"/>
          <w:szCs w:val="24"/>
        </w:rPr>
        <w:t xml:space="preserve">. </w:t>
      </w:r>
      <w:r w:rsidRPr="00695693">
        <w:rPr>
          <w:rFonts w:ascii="Times New Roman" w:hAnsi="Times New Roman" w:cs="Times New Roman"/>
          <w:sz w:val="24"/>
          <w:szCs w:val="24"/>
        </w:rPr>
        <w:t xml:space="preserve">Son caractère multidisciplinaire, comme il a été dit, fait appel à des disciplines relevant de ces deux ordres juridiques. Il s’agit </w:t>
      </w:r>
      <w:r w:rsidR="001C3605">
        <w:rPr>
          <w:rFonts w:ascii="Times New Roman" w:hAnsi="Times New Roman" w:cs="Times New Roman"/>
          <w:sz w:val="24"/>
          <w:szCs w:val="24"/>
        </w:rPr>
        <w:t xml:space="preserve">par exemple </w:t>
      </w:r>
      <w:r w:rsidRPr="00695693">
        <w:rPr>
          <w:rFonts w:ascii="Times New Roman" w:hAnsi="Times New Roman" w:cs="Times New Roman"/>
          <w:sz w:val="24"/>
          <w:szCs w:val="24"/>
        </w:rPr>
        <w:t>du droit de l’environnement</w:t>
      </w:r>
      <w:r w:rsidRPr="00695693">
        <w:rPr>
          <w:rStyle w:val="Appelnotedebasdep"/>
          <w:rFonts w:ascii="Times New Roman" w:hAnsi="Times New Roman" w:cs="Times New Roman"/>
          <w:sz w:val="24"/>
          <w:szCs w:val="24"/>
        </w:rPr>
        <w:footnoteReference w:id="317"/>
      </w:r>
      <w:r w:rsidRPr="00695693">
        <w:rPr>
          <w:rFonts w:ascii="Times New Roman" w:hAnsi="Times New Roman" w:cs="Times New Roman"/>
          <w:sz w:val="24"/>
          <w:szCs w:val="24"/>
        </w:rPr>
        <w:t>, des droits de l’homme</w:t>
      </w:r>
      <w:r w:rsidRPr="00695693">
        <w:rPr>
          <w:rStyle w:val="Appelnotedebasdep"/>
          <w:rFonts w:ascii="Times New Roman" w:hAnsi="Times New Roman" w:cs="Times New Roman"/>
          <w:sz w:val="24"/>
          <w:szCs w:val="24"/>
        </w:rPr>
        <w:footnoteReference w:id="318"/>
      </w:r>
      <w:r w:rsidRPr="00695693">
        <w:rPr>
          <w:rFonts w:ascii="Times New Roman" w:hAnsi="Times New Roman" w:cs="Times New Roman"/>
          <w:sz w:val="24"/>
          <w:szCs w:val="24"/>
        </w:rPr>
        <w:t>, du droit constitutionnel</w:t>
      </w:r>
      <w:r w:rsidRPr="00695693">
        <w:rPr>
          <w:rStyle w:val="Appelnotedebasdep"/>
          <w:rFonts w:ascii="Times New Roman" w:hAnsi="Times New Roman" w:cs="Times New Roman"/>
          <w:sz w:val="24"/>
          <w:szCs w:val="24"/>
        </w:rPr>
        <w:footnoteReference w:id="319"/>
      </w:r>
      <w:r w:rsidRPr="00695693">
        <w:rPr>
          <w:rFonts w:ascii="Times New Roman" w:hAnsi="Times New Roman" w:cs="Times New Roman"/>
          <w:sz w:val="24"/>
          <w:szCs w:val="24"/>
        </w:rPr>
        <w:t>, du droit international public</w:t>
      </w:r>
      <w:r w:rsidRPr="00695693">
        <w:rPr>
          <w:rStyle w:val="Appelnotedebasdep"/>
          <w:rFonts w:ascii="Times New Roman" w:hAnsi="Times New Roman" w:cs="Times New Roman"/>
          <w:sz w:val="24"/>
          <w:szCs w:val="24"/>
        </w:rPr>
        <w:footnoteReference w:id="320"/>
      </w:r>
      <w:r w:rsidRPr="00695693">
        <w:rPr>
          <w:rFonts w:ascii="Times New Roman" w:hAnsi="Times New Roman" w:cs="Times New Roman"/>
          <w:sz w:val="24"/>
          <w:szCs w:val="24"/>
        </w:rPr>
        <w:t>, du droit de la concurrence</w:t>
      </w:r>
      <w:r w:rsidRPr="00695693">
        <w:rPr>
          <w:rStyle w:val="Appelnotedebasdep"/>
          <w:rFonts w:ascii="Times New Roman" w:hAnsi="Times New Roman" w:cs="Times New Roman"/>
          <w:sz w:val="24"/>
          <w:szCs w:val="24"/>
        </w:rPr>
        <w:footnoteReference w:id="321"/>
      </w:r>
      <w:r w:rsidRPr="00695693">
        <w:rPr>
          <w:rFonts w:ascii="Times New Roman" w:hAnsi="Times New Roman" w:cs="Times New Roman"/>
          <w:sz w:val="24"/>
          <w:szCs w:val="24"/>
        </w:rPr>
        <w:t xml:space="preserve"> et plusieurs autres disciplines</w:t>
      </w:r>
      <w:r w:rsidRPr="00695693">
        <w:rPr>
          <w:rStyle w:val="Appelnotedebasdep"/>
          <w:rFonts w:ascii="Times New Roman" w:hAnsi="Times New Roman" w:cs="Times New Roman"/>
          <w:sz w:val="24"/>
          <w:szCs w:val="24"/>
        </w:rPr>
        <w:footnoteReference w:id="322"/>
      </w:r>
      <w:r w:rsidRPr="00695693">
        <w:rPr>
          <w:rFonts w:ascii="Times New Roman" w:hAnsi="Times New Roman" w:cs="Times New Roman"/>
          <w:sz w:val="24"/>
          <w:szCs w:val="24"/>
        </w:rPr>
        <w:t>. Cette multidisciplinarité de ce droit rend sa compréhension, voire sa connaissance difficile à la fois pour les Magistrats qui composent la plupart des juridictions nationales des Etats membres et pour les citoyens de l’espace CEDEAO. C’est pourquoi, pour</w:t>
      </w:r>
      <w:r w:rsidR="001533F6" w:rsidRPr="00695693">
        <w:rPr>
          <w:rFonts w:ascii="Times New Roman" w:hAnsi="Times New Roman" w:cs="Times New Roman"/>
          <w:sz w:val="24"/>
          <w:szCs w:val="24"/>
        </w:rPr>
        <w:t xml:space="preserve"> pallier</w:t>
      </w:r>
      <w:r w:rsidR="00C203ED" w:rsidRPr="00695693">
        <w:rPr>
          <w:rFonts w:ascii="Times New Roman" w:hAnsi="Times New Roman" w:cs="Times New Roman"/>
          <w:sz w:val="24"/>
          <w:szCs w:val="24"/>
        </w:rPr>
        <w:t xml:space="preserve"> cet inconvénient</w:t>
      </w:r>
      <w:r w:rsidRPr="00695693">
        <w:rPr>
          <w:rFonts w:ascii="Times New Roman" w:hAnsi="Times New Roman" w:cs="Times New Roman"/>
          <w:sz w:val="24"/>
          <w:szCs w:val="24"/>
        </w:rPr>
        <w:t>, il serait souhaitable pour le législateur CEDEAO d’instituer un centre communautaire de formation continue pour les Magistrats des Etats membres de la CEDEAO</w:t>
      </w:r>
      <w:r w:rsidRPr="00695693">
        <w:rPr>
          <w:rStyle w:val="Appelnotedebasdep"/>
          <w:rFonts w:ascii="Times New Roman" w:hAnsi="Times New Roman" w:cs="Times New Roman"/>
          <w:sz w:val="24"/>
          <w:szCs w:val="24"/>
        </w:rPr>
        <w:footnoteReference w:id="323"/>
      </w:r>
      <w:r w:rsidRPr="00695693">
        <w:rPr>
          <w:rFonts w:ascii="Times New Roman" w:hAnsi="Times New Roman" w:cs="Times New Roman"/>
          <w:sz w:val="24"/>
          <w:szCs w:val="24"/>
        </w:rPr>
        <w:t xml:space="preserve">. L’intérêt de l’existence dudit centre va consister à l’organisation annuelle ou semestrielle des sessions de formation ou d’apprentissage en droit communautaire CEDEAO. Cette session de formation ou d’apprentissage permettra, à notre avis, aux Magistrats de tous les Etats parties à la communauté de confronter leurs expériences et leurs </w:t>
      </w:r>
      <w:r w:rsidRPr="00695693">
        <w:rPr>
          <w:rFonts w:ascii="Times New Roman" w:hAnsi="Times New Roman" w:cs="Times New Roman"/>
          <w:sz w:val="24"/>
          <w:szCs w:val="24"/>
        </w:rPr>
        <w:lastRenderedPageBreak/>
        <w:t>difficultés dans l’application du droit CEDEAO. S’agissant des citoyens CEDEAO, il serait souhaitable pour chacun des Etats membres de créer les conditions favorables permettant à ses citoyens de connaitre le droit issu des sources communautaires, notamment en assurant la promulgation et la diffusion des textes législatifs et règlementaires nécessaires à l’application des dispositions des Traités</w:t>
      </w:r>
      <w:r w:rsidR="007D2227" w:rsidRPr="00695693">
        <w:rPr>
          <w:rFonts w:ascii="Times New Roman" w:hAnsi="Times New Roman" w:cs="Times New Roman"/>
          <w:sz w:val="24"/>
          <w:szCs w:val="24"/>
        </w:rPr>
        <w:t>,</w:t>
      </w:r>
      <w:r w:rsidRPr="00695693">
        <w:rPr>
          <w:rFonts w:ascii="Times New Roman" w:hAnsi="Times New Roman" w:cs="Times New Roman"/>
          <w:sz w:val="24"/>
          <w:szCs w:val="24"/>
        </w:rPr>
        <w:t xml:space="preserve"> et en mettant en place des stratégies de sensibilisation et de mobilisation des populations à l’appropriation de l’ensemble du processus d’intégration.</w:t>
      </w:r>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La mise en place de cette stratégie de sensibilisation et de mobilisation des populations, tout comme l’institution d’un centre communautaire de formation auraient bien permis de prendre connaissance de ce droit tant pour les juges nationaux des Etats membres que pour les citoyens de l’espace CEDEAO. Ces derniers peuvent désormais saisir le juge communautaire s’ils </w:t>
      </w:r>
      <w:r w:rsidR="00886AEB" w:rsidRPr="00695693">
        <w:rPr>
          <w:rFonts w:ascii="Times New Roman" w:hAnsi="Times New Roman" w:cs="Times New Roman"/>
          <w:sz w:val="24"/>
          <w:szCs w:val="24"/>
        </w:rPr>
        <w:t>s’</w:t>
      </w:r>
      <w:r w:rsidRPr="00695693">
        <w:rPr>
          <w:rFonts w:ascii="Times New Roman" w:hAnsi="Times New Roman" w:cs="Times New Roman"/>
          <w:sz w:val="24"/>
          <w:szCs w:val="24"/>
        </w:rPr>
        <w:t>estiment victime de violation de leurs droits fondamentaux, garantis par les textes communautaires. Ils peuvent aussi demander au juge</w:t>
      </w:r>
      <w:r w:rsidR="00B436A0" w:rsidRPr="00695693">
        <w:rPr>
          <w:rFonts w:ascii="Times New Roman" w:hAnsi="Times New Roman" w:cs="Times New Roman"/>
          <w:sz w:val="24"/>
          <w:szCs w:val="24"/>
        </w:rPr>
        <w:t xml:space="preserve"> national de saisir la Cour de j</w:t>
      </w:r>
      <w:r w:rsidRPr="00695693">
        <w:rPr>
          <w:rFonts w:ascii="Times New Roman" w:hAnsi="Times New Roman" w:cs="Times New Roman"/>
          <w:sz w:val="24"/>
          <w:szCs w:val="24"/>
        </w:rPr>
        <w:t>ustice à titre préjudiciel dès lors qu’il y a un doute sur le sens et la portée d’une règle communautaire applicable à leur litige au principal.</w:t>
      </w:r>
    </w:p>
    <w:p w:rsidR="001E35C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Etant donné que le droit de la communauté est « </w:t>
      </w:r>
      <w:r w:rsidRPr="00695693">
        <w:rPr>
          <w:rFonts w:ascii="Times New Roman" w:hAnsi="Times New Roman" w:cs="Times New Roman"/>
          <w:i/>
          <w:sz w:val="24"/>
          <w:szCs w:val="24"/>
        </w:rPr>
        <w:t>intégré au système juridique des Etats membres… et s’impose à leurs juridictions</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324"/>
      </w:r>
      <w:r w:rsidRPr="00695693">
        <w:rPr>
          <w:rFonts w:ascii="Times New Roman" w:hAnsi="Times New Roman" w:cs="Times New Roman"/>
          <w:sz w:val="24"/>
          <w:szCs w:val="24"/>
        </w:rPr>
        <w:t>, les juges nationaux des Etats membres seront les premiers à garantir le respect de ce droit et, le cas échéant, les premiers à sanctionner le non-respect de ce droit. En ce sens, il sera nécessaire qu’ils « </w:t>
      </w:r>
      <w:r w:rsidRPr="00695693">
        <w:rPr>
          <w:rFonts w:ascii="Times New Roman" w:hAnsi="Times New Roman" w:cs="Times New Roman"/>
          <w:i/>
          <w:sz w:val="24"/>
          <w:szCs w:val="24"/>
        </w:rPr>
        <w:t>puissent s’adresser à la Cour en cas de doute, qui va constituer le guide dans l’application du droit</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325"/>
      </w:r>
      <w:r w:rsidRPr="00695693">
        <w:rPr>
          <w:rFonts w:ascii="Times New Roman" w:hAnsi="Times New Roman" w:cs="Times New Roman"/>
          <w:sz w:val="24"/>
          <w:szCs w:val="24"/>
        </w:rPr>
        <w:t xml:space="preserve"> de la communauté par les instances nationales. Cela sous-entend que les justiciables pourraient obtenir une protection juridictionnelle de leurs droits grâce au mécanisme du renvoi préjudiciel</w:t>
      </w:r>
      <w:r w:rsidRPr="00695693">
        <w:rPr>
          <w:rStyle w:val="Appelnotedebasdep"/>
          <w:rFonts w:ascii="Times New Roman" w:hAnsi="Times New Roman" w:cs="Times New Roman"/>
          <w:sz w:val="24"/>
          <w:szCs w:val="24"/>
        </w:rPr>
        <w:footnoteReference w:id="326"/>
      </w:r>
      <w:r w:rsidR="001533F6" w:rsidRPr="00695693">
        <w:rPr>
          <w:rFonts w:ascii="Times New Roman" w:hAnsi="Times New Roman" w:cs="Times New Roman"/>
          <w:sz w:val="24"/>
          <w:szCs w:val="24"/>
        </w:rPr>
        <w:t>.</w:t>
      </w:r>
    </w:p>
    <w:p w:rsidR="001E35C3" w:rsidRDefault="001533F6" w:rsidP="00695693">
      <w:pPr>
        <w:spacing w:line="360" w:lineRule="auto"/>
        <w:jc w:val="both"/>
        <w:rPr>
          <w:rFonts w:ascii="Times New Roman" w:hAnsi="Times New Roman" w:cs="Times New Roman"/>
          <w:color w:val="FF0000"/>
          <w:sz w:val="24"/>
          <w:szCs w:val="24"/>
        </w:rPr>
      </w:pPr>
      <w:r w:rsidRPr="00695693">
        <w:rPr>
          <w:rFonts w:ascii="Times New Roman" w:hAnsi="Times New Roman" w:cs="Times New Roman"/>
          <w:sz w:val="24"/>
          <w:szCs w:val="24"/>
        </w:rPr>
        <w:t>Cependant</w:t>
      </w:r>
      <w:r w:rsidR="00694424" w:rsidRPr="00695693">
        <w:rPr>
          <w:rFonts w:ascii="Times New Roman" w:hAnsi="Times New Roman" w:cs="Times New Roman"/>
          <w:sz w:val="24"/>
          <w:szCs w:val="24"/>
        </w:rPr>
        <w:t>, l’exercice de ce mécanisme est l’œuvre du juge national soit d’office, soit à la diligence des parties en litige. Même si le recours peut être exercé à la demande des parties,</w:t>
      </w:r>
      <w:r w:rsidR="0046086B">
        <w:rPr>
          <w:rFonts w:ascii="Times New Roman" w:hAnsi="Times New Roman" w:cs="Times New Roman"/>
          <w:sz w:val="24"/>
          <w:szCs w:val="24"/>
        </w:rPr>
        <w:t xml:space="preserve"> la saisine de la Cour relève </w:t>
      </w:r>
      <w:r w:rsidR="0034487D">
        <w:rPr>
          <w:rFonts w:ascii="Times New Roman" w:hAnsi="Times New Roman" w:cs="Times New Roman"/>
          <w:sz w:val="24"/>
          <w:szCs w:val="24"/>
        </w:rPr>
        <w:t xml:space="preserve">exclusivement </w:t>
      </w:r>
      <w:r w:rsidR="0046086B">
        <w:rPr>
          <w:rFonts w:ascii="Times New Roman" w:hAnsi="Times New Roman" w:cs="Times New Roman"/>
          <w:sz w:val="24"/>
          <w:szCs w:val="24"/>
        </w:rPr>
        <w:t>de la compétence discrétionnaire des juridictions nationales.</w:t>
      </w:r>
    </w:p>
    <w:p w:rsidR="00036959" w:rsidRPr="008159B8" w:rsidRDefault="00036959" w:rsidP="002F7CA3">
      <w:pPr>
        <w:pStyle w:val="Titre4"/>
      </w:pPr>
      <w:bookmarkStart w:id="95" w:name="_Toc518672830"/>
      <w:r w:rsidRPr="008159B8">
        <w:lastRenderedPageBreak/>
        <w:t>§ 2</w:t>
      </w:r>
      <w:r w:rsidR="00694424" w:rsidRPr="008159B8">
        <w:t>: L</w:t>
      </w:r>
      <w:r w:rsidR="00C203ED" w:rsidRPr="008159B8">
        <w:t>a compétence discrétionnaire des juridictions nationales</w:t>
      </w:r>
      <w:bookmarkEnd w:id="95"/>
    </w:p>
    <w:p w:rsidR="00FC33F1" w:rsidRPr="00695693" w:rsidRDefault="00C13E97" w:rsidP="006956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Elle </w:t>
      </w:r>
      <w:r w:rsidR="00694424" w:rsidRPr="00695693">
        <w:rPr>
          <w:rFonts w:ascii="Times New Roman" w:hAnsi="Times New Roman" w:cs="Times New Roman"/>
          <w:sz w:val="24"/>
          <w:szCs w:val="24"/>
        </w:rPr>
        <w:t xml:space="preserve">trouve son fondement dans le protocole </w:t>
      </w:r>
      <w:r w:rsidR="004C5D97" w:rsidRPr="00695693">
        <w:rPr>
          <w:rFonts w:ascii="Times New Roman" w:hAnsi="Times New Roman" w:cs="Times New Roman"/>
          <w:sz w:val="24"/>
          <w:szCs w:val="24"/>
        </w:rPr>
        <w:t xml:space="preserve">d’Accra de 2005 </w:t>
      </w:r>
      <w:r w:rsidR="00694424" w:rsidRPr="00695693">
        <w:rPr>
          <w:rFonts w:ascii="Times New Roman" w:hAnsi="Times New Roman" w:cs="Times New Roman"/>
          <w:sz w:val="24"/>
          <w:szCs w:val="24"/>
        </w:rPr>
        <w:t xml:space="preserve">qui </w:t>
      </w:r>
      <w:r w:rsidR="004C5D97" w:rsidRPr="00695693">
        <w:rPr>
          <w:rFonts w:ascii="Times New Roman" w:hAnsi="Times New Roman" w:cs="Times New Roman"/>
          <w:sz w:val="24"/>
          <w:szCs w:val="24"/>
        </w:rPr>
        <w:t xml:space="preserve">ne </w:t>
      </w:r>
      <w:r w:rsidR="00694424" w:rsidRPr="00695693">
        <w:rPr>
          <w:rFonts w:ascii="Times New Roman" w:hAnsi="Times New Roman" w:cs="Times New Roman"/>
          <w:sz w:val="24"/>
          <w:szCs w:val="24"/>
        </w:rPr>
        <w:t>consacre</w:t>
      </w:r>
      <w:r w:rsidR="004C5D97" w:rsidRPr="00695693">
        <w:rPr>
          <w:rFonts w:ascii="Times New Roman" w:hAnsi="Times New Roman" w:cs="Times New Roman"/>
          <w:sz w:val="24"/>
          <w:szCs w:val="24"/>
        </w:rPr>
        <w:t xml:space="preserve"> nil’obligation de renvoi </w:t>
      </w:r>
      <w:r w:rsidR="004C5D97" w:rsidRPr="00A044DF">
        <w:rPr>
          <w:rFonts w:ascii="Times New Roman" w:hAnsi="Times New Roman" w:cs="Times New Roman"/>
          <w:b/>
          <w:sz w:val="24"/>
          <w:szCs w:val="24"/>
        </w:rPr>
        <w:t>(A)</w:t>
      </w:r>
      <w:r w:rsidR="004C5D97" w:rsidRPr="00695693">
        <w:rPr>
          <w:rFonts w:ascii="Times New Roman" w:hAnsi="Times New Roman" w:cs="Times New Roman"/>
          <w:sz w:val="24"/>
          <w:szCs w:val="24"/>
        </w:rPr>
        <w:t>, ni l</w:t>
      </w:r>
      <w:r w:rsidR="00694424" w:rsidRPr="00695693">
        <w:rPr>
          <w:rFonts w:ascii="Times New Roman" w:hAnsi="Times New Roman" w:cs="Times New Roman"/>
          <w:sz w:val="24"/>
          <w:szCs w:val="24"/>
        </w:rPr>
        <w:t>’interdiction de réitére</w:t>
      </w:r>
      <w:r w:rsidR="00FC33F1" w:rsidRPr="00695693">
        <w:rPr>
          <w:rFonts w:ascii="Times New Roman" w:hAnsi="Times New Roman" w:cs="Times New Roman"/>
          <w:sz w:val="24"/>
          <w:szCs w:val="24"/>
        </w:rPr>
        <w:t xml:space="preserve">r en matière préjudicielle </w:t>
      </w:r>
      <w:r w:rsidR="00FC33F1" w:rsidRPr="00A044DF">
        <w:rPr>
          <w:rFonts w:ascii="Times New Roman" w:hAnsi="Times New Roman" w:cs="Times New Roman"/>
          <w:b/>
          <w:sz w:val="24"/>
          <w:szCs w:val="24"/>
        </w:rPr>
        <w:t>(B)</w:t>
      </w:r>
      <w:r w:rsidR="00FC33F1" w:rsidRPr="00695693">
        <w:rPr>
          <w:rFonts w:ascii="Times New Roman" w:hAnsi="Times New Roman" w:cs="Times New Roman"/>
          <w:sz w:val="24"/>
          <w:szCs w:val="24"/>
        </w:rPr>
        <w:t>.</w:t>
      </w:r>
    </w:p>
    <w:p w:rsidR="00694424" w:rsidRPr="008159B8" w:rsidRDefault="00694424" w:rsidP="0037430F">
      <w:pPr>
        <w:pStyle w:val="Titre5"/>
      </w:pPr>
      <w:bookmarkStart w:id="96" w:name="_Toc518672831"/>
      <w:r w:rsidRPr="008159B8">
        <w:t>A. Absence d’obligation de renvoi</w:t>
      </w:r>
      <w:bookmarkEnd w:id="96"/>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Rappelons d’abord les termes de l’art. 10, f du Protocole d’Accra de 2005 : «</w:t>
      </w:r>
      <w:r w:rsidRPr="00695693">
        <w:rPr>
          <w:rFonts w:ascii="Times New Roman" w:hAnsi="Times New Roman" w:cs="Times New Roman"/>
          <w:i/>
          <w:sz w:val="24"/>
          <w:szCs w:val="24"/>
        </w:rPr>
        <w:t> Lorsque la Cour doit statuer à titre préjudiciel sur l’interprétation du Traité, des Protocoles et Règlements ; les juridictions nationales peuvent décider elles-mêmes, ou à la demande d’une des parties au différend, de porter la question devant la Cour de Justice de la communauté pour interprétation</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327"/>
      </w:r>
      <w:r w:rsidRPr="00695693">
        <w:rPr>
          <w:rFonts w:ascii="Times New Roman" w:hAnsi="Times New Roman" w:cs="Times New Roman"/>
          <w:sz w:val="24"/>
          <w:szCs w:val="24"/>
        </w:rPr>
        <w:t xml:space="preserve">. La lecture de cette disposition laisse </w:t>
      </w:r>
      <w:r w:rsidR="00A13CCA">
        <w:rPr>
          <w:rFonts w:ascii="Times New Roman" w:hAnsi="Times New Roman" w:cs="Times New Roman"/>
          <w:sz w:val="24"/>
          <w:szCs w:val="24"/>
        </w:rPr>
        <w:t xml:space="preserve">voir en filigrane un pouvoir discrétionnaire dans </w:t>
      </w:r>
      <w:r w:rsidRPr="00695693">
        <w:rPr>
          <w:rFonts w:ascii="Times New Roman" w:hAnsi="Times New Roman" w:cs="Times New Roman"/>
          <w:sz w:val="24"/>
          <w:szCs w:val="24"/>
        </w:rPr>
        <w:t>l’exe</w:t>
      </w:r>
      <w:r w:rsidR="00A13CCA">
        <w:rPr>
          <w:rFonts w:ascii="Times New Roman" w:hAnsi="Times New Roman" w:cs="Times New Roman"/>
          <w:sz w:val="24"/>
          <w:szCs w:val="24"/>
        </w:rPr>
        <w:t>rcice du recours au mécanisme de</w:t>
      </w:r>
      <w:r w:rsidRPr="00695693">
        <w:rPr>
          <w:rFonts w:ascii="Times New Roman" w:hAnsi="Times New Roman" w:cs="Times New Roman"/>
          <w:sz w:val="24"/>
          <w:szCs w:val="24"/>
        </w:rPr>
        <w:t xml:space="preserve"> renvoi préjudiciel</w:t>
      </w:r>
      <w:r w:rsidR="00A13CCA">
        <w:rPr>
          <w:rFonts w:ascii="Times New Roman" w:hAnsi="Times New Roman" w:cs="Times New Roman"/>
          <w:sz w:val="24"/>
          <w:szCs w:val="24"/>
        </w:rPr>
        <w:t xml:space="preserve"> pour le juge national</w:t>
      </w:r>
      <w:r w:rsidRPr="00695693">
        <w:rPr>
          <w:rFonts w:ascii="Times New Roman" w:hAnsi="Times New Roman" w:cs="Times New Roman"/>
          <w:sz w:val="24"/>
          <w:szCs w:val="24"/>
        </w:rPr>
        <w:t xml:space="preserve">. Cette </w:t>
      </w:r>
      <w:r w:rsidR="00754811" w:rsidRPr="00695693">
        <w:rPr>
          <w:rFonts w:ascii="Times New Roman" w:hAnsi="Times New Roman" w:cs="Times New Roman"/>
          <w:sz w:val="24"/>
          <w:szCs w:val="24"/>
        </w:rPr>
        <w:t xml:space="preserve">précision </w:t>
      </w:r>
      <w:r w:rsidRPr="00695693">
        <w:rPr>
          <w:rFonts w:ascii="Times New Roman" w:hAnsi="Times New Roman" w:cs="Times New Roman"/>
          <w:sz w:val="24"/>
          <w:szCs w:val="24"/>
        </w:rPr>
        <w:t>peut s’avérer n</w:t>
      </w:r>
      <w:r w:rsidR="00FC33F1" w:rsidRPr="00695693">
        <w:rPr>
          <w:rFonts w:ascii="Times New Roman" w:hAnsi="Times New Roman" w:cs="Times New Roman"/>
          <w:sz w:val="24"/>
          <w:szCs w:val="24"/>
        </w:rPr>
        <w:t xml:space="preserve">écessaire puisqu’à notre avis l’expression </w:t>
      </w:r>
      <w:r w:rsidRPr="00695693">
        <w:rPr>
          <w:rFonts w:ascii="Times New Roman" w:hAnsi="Times New Roman" w:cs="Times New Roman"/>
          <w:sz w:val="24"/>
          <w:szCs w:val="24"/>
        </w:rPr>
        <w:t>« pouvoir décider »</w:t>
      </w:r>
      <w:r w:rsidRPr="00695693">
        <w:rPr>
          <w:rStyle w:val="Appelnotedebasdep"/>
          <w:rFonts w:ascii="Times New Roman" w:hAnsi="Times New Roman" w:cs="Times New Roman"/>
          <w:sz w:val="24"/>
          <w:szCs w:val="24"/>
        </w:rPr>
        <w:footnoteReference w:id="328"/>
      </w:r>
      <w:r w:rsidRPr="00695693">
        <w:rPr>
          <w:rFonts w:ascii="Times New Roman" w:hAnsi="Times New Roman" w:cs="Times New Roman"/>
          <w:sz w:val="24"/>
          <w:szCs w:val="24"/>
        </w:rPr>
        <w:t xml:space="preserve"> employé</w:t>
      </w:r>
      <w:r w:rsidR="00FC33F1" w:rsidRPr="00695693">
        <w:rPr>
          <w:rFonts w:ascii="Times New Roman" w:hAnsi="Times New Roman" w:cs="Times New Roman"/>
          <w:sz w:val="24"/>
          <w:szCs w:val="24"/>
        </w:rPr>
        <w:t>e</w:t>
      </w:r>
      <w:r w:rsidRPr="00695693">
        <w:rPr>
          <w:rFonts w:ascii="Times New Roman" w:hAnsi="Times New Roman" w:cs="Times New Roman"/>
          <w:sz w:val="24"/>
          <w:szCs w:val="24"/>
        </w:rPr>
        <w:t xml:space="preserve"> par le législateur CEDEAO n’est ni synonyme d’obligation, ni même du devoir</w:t>
      </w:r>
      <w:r w:rsidR="00576670" w:rsidRPr="00695693">
        <w:rPr>
          <w:rFonts w:ascii="Times New Roman" w:hAnsi="Times New Roman" w:cs="Times New Roman"/>
          <w:sz w:val="24"/>
          <w:szCs w:val="24"/>
        </w:rPr>
        <w:t xml:space="preserve"> non plus</w:t>
      </w:r>
      <w:r w:rsidRPr="00695693">
        <w:rPr>
          <w:rFonts w:ascii="Times New Roman" w:hAnsi="Times New Roman" w:cs="Times New Roman"/>
          <w:sz w:val="24"/>
          <w:szCs w:val="24"/>
        </w:rPr>
        <w:t xml:space="preserve">. Cela peut ouvrir une brèche à l’effectivité du recours préjudiciel dans l’espace CEDEAO, compte tenu du fait qu’il revient toujours aux juges nationaux de décider du sort dudit recours. </w:t>
      </w:r>
      <w:r w:rsidR="009C081B" w:rsidRPr="00695693">
        <w:rPr>
          <w:rFonts w:ascii="Times New Roman" w:hAnsi="Times New Roman" w:cs="Times New Roman"/>
          <w:sz w:val="24"/>
          <w:szCs w:val="24"/>
        </w:rPr>
        <w:t>Il</w:t>
      </w:r>
      <w:r w:rsidRPr="00695693">
        <w:rPr>
          <w:rFonts w:ascii="Times New Roman" w:hAnsi="Times New Roman" w:cs="Times New Roman"/>
          <w:sz w:val="24"/>
          <w:szCs w:val="24"/>
        </w:rPr>
        <w:t>s peuvent décider de renvoyer la question à la Cour, alors même que les parties en l</w:t>
      </w:r>
      <w:r w:rsidR="009C081B" w:rsidRPr="00695693">
        <w:rPr>
          <w:rFonts w:ascii="Times New Roman" w:hAnsi="Times New Roman" w:cs="Times New Roman"/>
          <w:sz w:val="24"/>
          <w:szCs w:val="24"/>
        </w:rPr>
        <w:t>itige ne le voudraient pas</w:t>
      </w:r>
      <w:r w:rsidR="00194DD7">
        <w:rPr>
          <w:rStyle w:val="Appelnotedebasdep"/>
          <w:rFonts w:ascii="Times New Roman" w:hAnsi="Times New Roman" w:cs="Times New Roman"/>
          <w:sz w:val="24"/>
          <w:szCs w:val="24"/>
        </w:rPr>
        <w:footnoteReference w:id="329"/>
      </w:r>
      <w:r w:rsidR="009C081B" w:rsidRPr="00695693">
        <w:rPr>
          <w:rFonts w:ascii="Times New Roman" w:hAnsi="Times New Roman" w:cs="Times New Roman"/>
          <w:sz w:val="24"/>
          <w:szCs w:val="24"/>
        </w:rPr>
        <w:t>. Il</w:t>
      </w:r>
      <w:r w:rsidRPr="00695693">
        <w:rPr>
          <w:rFonts w:ascii="Times New Roman" w:hAnsi="Times New Roman" w:cs="Times New Roman"/>
          <w:sz w:val="24"/>
          <w:szCs w:val="24"/>
        </w:rPr>
        <w:t>s peuvent aussi refuser de renvoyer, alors que les parties</w:t>
      </w:r>
      <w:r w:rsidR="000E4D19" w:rsidRPr="00695693">
        <w:rPr>
          <w:rFonts w:ascii="Times New Roman" w:hAnsi="Times New Roman" w:cs="Times New Roman"/>
          <w:sz w:val="24"/>
          <w:szCs w:val="24"/>
        </w:rPr>
        <w:t xml:space="preserve"> peuvent le suggérer</w:t>
      </w:r>
      <w:r w:rsidR="00194DD7">
        <w:rPr>
          <w:rStyle w:val="Appelnotedebasdep"/>
          <w:rFonts w:ascii="Times New Roman" w:hAnsi="Times New Roman" w:cs="Times New Roman"/>
          <w:sz w:val="24"/>
          <w:szCs w:val="24"/>
        </w:rPr>
        <w:footnoteReference w:id="330"/>
      </w:r>
      <w:r w:rsidRPr="00695693">
        <w:rPr>
          <w:rFonts w:ascii="Times New Roman" w:hAnsi="Times New Roman" w:cs="Times New Roman"/>
          <w:sz w:val="24"/>
          <w:szCs w:val="24"/>
        </w:rPr>
        <w:t>. En cas de refus de renvoi à la demande des parties au différend, celles-ci ne disposent d’aucune voie de recours, c’est pourquoi le système n’est pas sans défaut</w:t>
      </w:r>
      <w:r w:rsidRPr="00695693">
        <w:rPr>
          <w:rStyle w:val="Appelnotedebasdep"/>
          <w:rFonts w:ascii="Times New Roman" w:hAnsi="Times New Roman" w:cs="Times New Roman"/>
          <w:sz w:val="24"/>
          <w:szCs w:val="24"/>
        </w:rPr>
        <w:footnoteReference w:id="331"/>
      </w:r>
      <w:r w:rsidRPr="00695693">
        <w:rPr>
          <w:rFonts w:ascii="Times New Roman" w:hAnsi="Times New Roman" w:cs="Times New Roman"/>
          <w:sz w:val="24"/>
          <w:szCs w:val="24"/>
        </w:rPr>
        <w:t>.</w:t>
      </w:r>
      <w:r w:rsidR="00B45651" w:rsidRPr="00F00E56">
        <w:rPr>
          <w:rFonts w:ascii="Times New Roman" w:hAnsi="Times New Roman" w:cs="Times New Roman"/>
          <w:sz w:val="24"/>
          <w:szCs w:val="24"/>
        </w:rPr>
        <w:t>Toutefois,</w:t>
      </w:r>
      <w:r w:rsidR="00B45651">
        <w:rPr>
          <w:rFonts w:ascii="Times New Roman" w:hAnsi="Times New Roman" w:cs="Times New Roman"/>
          <w:sz w:val="24"/>
          <w:szCs w:val="24"/>
        </w:rPr>
        <w:t xml:space="preserve"> s</w:t>
      </w:r>
      <w:r w:rsidR="00A937D6">
        <w:rPr>
          <w:rFonts w:ascii="Times New Roman" w:hAnsi="Times New Roman" w:cs="Times New Roman"/>
          <w:sz w:val="24"/>
          <w:szCs w:val="24"/>
        </w:rPr>
        <w:t>i cette</w:t>
      </w:r>
      <w:r w:rsidR="0058219D">
        <w:rPr>
          <w:rFonts w:ascii="Times New Roman" w:hAnsi="Times New Roman" w:cs="Times New Roman"/>
          <w:sz w:val="24"/>
          <w:szCs w:val="24"/>
        </w:rPr>
        <w:t xml:space="preserve"> faculté accordée au juge national permet ainsi d’éviter l’écueil qui consisterait à laisser aux parties la possibilité d’instrumentaliser le recours préjudiciel pour le mettre au service de leurs propres intérêts</w:t>
      </w:r>
      <w:r w:rsidR="0058219D">
        <w:rPr>
          <w:rStyle w:val="Appelnotedebasdep"/>
          <w:rFonts w:ascii="Times New Roman" w:hAnsi="Times New Roman" w:cs="Times New Roman"/>
          <w:sz w:val="24"/>
          <w:szCs w:val="24"/>
        </w:rPr>
        <w:footnoteReference w:id="332"/>
      </w:r>
      <w:r w:rsidR="00A937D6">
        <w:rPr>
          <w:rFonts w:ascii="Times New Roman" w:hAnsi="Times New Roman" w:cs="Times New Roman"/>
          <w:sz w:val="24"/>
          <w:szCs w:val="24"/>
        </w:rPr>
        <w:t>, il n’en demeure pas moins qu’elle pouvait</w:t>
      </w:r>
      <w:r w:rsidR="003F78CE">
        <w:rPr>
          <w:rFonts w:ascii="Times New Roman" w:hAnsi="Times New Roman" w:cs="Times New Roman"/>
          <w:sz w:val="24"/>
          <w:szCs w:val="24"/>
        </w:rPr>
        <w:t xml:space="preserve"> aussi</w:t>
      </w:r>
      <w:r w:rsidRPr="00695693">
        <w:rPr>
          <w:rFonts w:ascii="Times New Roman" w:hAnsi="Times New Roman" w:cs="Times New Roman"/>
          <w:sz w:val="24"/>
          <w:szCs w:val="24"/>
        </w:rPr>
        <w:t xml:space="preserve">être l’une des raisons </w:t>
      </w:r>
      <w:r w:rsidR="00FB62BF" w:rsidRPr="00695693">
        <w:rPr>
          <w:rFonts w:ascii="Times New Roman" w:hAnsi="Times New Roman" w:cs="Times New Roman"/>
          <w:sz w:val="24"/>
          <w:szCs w:val="24"/>
        </w:rPr>
        <w:t xml:space="preserve">faisant en sorte </w:t>
      </w:r>
      <w:r w:rsidRPr="00695693">
        <w:rPr>
          <w:rFonts w:ascii="Times New Roman" w:hAnsi="Times New Roman" w:cs="Times New Roman"/>
          <w:sz w:val="24"/>
          <w:szCs w:val="24"/>
        </w:rPr>
        <w:t>que jusqu’à présent la CJ/CEDEAO n’a pas encore été saisie d’une question de nature préjudicielle. C’est ainsi qu’il serait souhaitable pour le législateur</w:t>
      </w:r>
      <w:r w:rsidR="00E305B1" w:rsidRPr="00695693">
        <w:rPr>
          <w:rFonts w:ascii="Times New Roman" w:hAnsi="Times New Roman" w:cs="Times New Roman"/>
          <w:sz w:val="24"/>
          <w:szCs w:val="24"/>
        </w:rPr>
        <w:t xml:space="preserve"> CEDEAO d’emboiter le pas de ses</w:t>
      </w:r>
      <w:r w:rsidRPr="00695693">
        <w:rPr>
          <w:rFonts w:ascii="Times New Roman" w:hAnsi="Times New Roman" w:cs="Times New Roman"/>
          <w:sz w:val="24"/>
          <w:szCs w:val="24"/>
        </w:rPr>
        <w:t xml:space="preserve"> homologue</w:t>
      </w:r>
      <w:r w:rsidR="00E305B1" w:rsidRPr="00695693">
        <w:rPr>
          <w:rFonts w:ascii="Times New Roman" w:hAnsi="Times New Roman" w:cs="Times New Roman"/>
          <w:sz w:val="24"/>
          <w:szCs w:val="24"/>
        </w:rPr>
        <w:t>s</w:t>
      </w:r>
      <w:r w:rsidRPr="00695693">
        <w:rPr>
          <w:rFonts w:ascii="Times New Roman" w:hAnsi="Times New Roman" w:cs="Times New Roman"/>
          <w:sz w:val="24"/>
          <w:szCs w:val="24"/>
        </w:rPr>
        <w:t xml:space="preserve"> UEMOA</w:t>
      </w:r>
      <w:r w:rsidRPr="00695693">
        <w:rPr>
          <w:rStyle w:val="Appelnotedebasdep"/>
          <w:rFonts w:ascii="Times New Roman" w:hAnsi="Times New Roman" w:cs="Times New Roman"/>
          <w:sz w:val="24"/>
          <w:szCs w:val="24"/>
        </w:rPr>
        <w:footnoteReference w:id="333"/>
      </w:r>
      <w:r w:rsidRPr="00695693">
        <w:rPr>
          <w:rFonts w:ascii="Times New Roman" w:hAnsi="Times New Roman" w:cs="Times New Roman"/>
          <w:sz w:val="24"/>
          <w:szCs w:val="24"/>
        </w:rPr>
        <w:t xml:space="preserve"> et européen</w:t>
      </w:r>
      <w:r w:rsidRPr="00695693">
        <w:rPr>
          <w:rStyle w:val="Appelnotedebasdep"/>
          <w:rFonts w:ascii="Times New Roman" w:hAnsi="Times New Roman" w:cs="Times New Roman"/>
          <w:sz w:val="24"/>
          <w:szCs w:val="24"/>
        </w:rPr>
        <w:footnoteReference w:id="334"/>
      </w:r>
      <w:r w:rsidRPr="00695693">
        <w:rPr>
          <w:rFonts w:ascii="Times New Roman" w:hAnsi="Times New Roman" w:cs="Times New Roman"/>
          <w:sz w:val="24"/>
          <w:szCs w:val="24"/>
        </w:rPr>
        <w:t xml:space="preserve">, notamment en révisant la disposition de l’article 10, f du Protocole d’Accra de 2005 afin de rendre le renvoi préjudiciel obligatoire pour les juridictions nationales supérieures et facultatif </w:t>
      </w:r>
      <w:r w:rsidRPr="00695693">
        <w:rPr>
          <w:rFonts w:ascii="Times New Roman" w:hAnsi="Times New Roman" w:cs="Times New Roman"/>
          <w:sz w:val="24"/>
          <w:szCs w:val="24"/>
        </w:rPr>
        <w:lastRenderedPageBreak/>
        <w:t>pour toutes les instances nationales inférieures</w:t>
      </w:r>
      <w:r w:rsidR="00C43394" w:rsidRPr="00695693">
        <w:rPr>
          <w:rFonts w:ascii="Times New Roman" w:hAnsi="Times New Roman" w:cs="Times New Roman"/>
          <w:sz w:val="24"/>
          <w:szCs w:val="24"/>
        </w:rPr>
        <w:t xml:space="preserve">. </w:t>
      </w:r>
      <w:r w:rsidRPr="00695693">
        <w:rPr>
          <w:rFonts w:ascii="Times New Roman" w:hAnsi="Times New Roman" w:cs="Times New Roman"/>
          <w:sz w:val="24"/>
          <w:szCs w:val="24"/>
        </w:rPr>
        <w:t>Aussi, il serait souhaitable pour chacun des Etats membres de mettre en place une instance chargée de connaitre le refus de renvoi des juridictions supérieures</w:t>
      </w:r>
      <w:r w:rsidRPr="00695693">
        <w:rPr>
          <w:rStyle w:val="Appelnotedebasdep"/>
          <w:rFonts w:ascii="Times New Roman" w:hAnsi="Times New Roman" w:cs="Times New Roman"/>
          <w:sz w:val="24"/>
          <w:szCs w:val="24"/>
        </w:rPr>
        <w:footnoteReference w:id="335"/>
      </w:r>
      <w:r w:rsidRPr="00695693">
        <w:rPr>
          <w:rFonts w:ascii="Times New Roman" w:hAnsi="Times New Roman" w:cs="Times New Roman"/>
          <w:sz w:val="24"/>
          <w:szCs w:val="24"/>
        </w:rPr>
        <w:t>. L’intérêt de l’existence d’une telle instance va consister au renforcement de la protection juridictionnelle des particuliers, lesquels peuvent directement agir devant ladite instance dès lors que la juridiction suprême refuse de renvoye</w:t>
      </w:r>
      <w:r w:rsidR="002C3C3F" w:rsidRPr="00695693">
        <w:rPr>
          <w:rFonts w:ascii="Times New Roman" w:hAnsi="Times New Roman" w:cs="Times New Roman"/>
          <w:sz w:val="24"/>
          <w:szCs w:val="24"/>
        </w:rPr>
        <w:t>r. Cela peut s’avérer utile</w:t>
      </w:r>
      <w:r w:rsidRPr="00695693">
        <w:rPr>
          <w:rFonts w:ascii="Times New Roman" w:hAnsi="Times New Roman" w:cs="Times New Roman"/>
          <w:sz w:val="24"/>
          <w:szCs w:val="24"/>
        </w:rPr>
        <w:t xml:space="preserve"> puisqu’en matière du recours préjudiciel</w:t>
      </w:r>
      <w:r w:rsidR="00544C53" w:rsidRPr="00695693">
        <w:rPr>
          <w:rFonts w:ascii="Times New Roman" w:hAnsi="Times New Roman" w:cs="Times New Roman"/>
          <w:sz w:val="24"/>
          <w:szCs w:val="24"/>
        </w:rPr>
        <w:t>,</w:t>
      </w:r>
      <w:r w:rsidR="00576670" w:rsidRPr="00695693">
        <w:rPr>
          <w:rFonts w:ascii="Times New Roman" w:hAnsi="Times New Roman" w:cs="Times New Roman"/>
          <w:sz w:val="24"/>
          <w:szCs w:val="24"/>
        </w:rPr>
        <w:t xml:space="preserve"> les Cours de j</w:t>
      </w:r>
      <w:r w:rsidRPr="00695693">
        <w:rPr>
          <w:rFonts w:ascii="Times New Roman" w:hAnsi="Times New Roman" w:cs="Times New Roman"/>
          <w:sz w:val="24"/>
          <w:szCs w:val="24"/>
        </w:rPr>
        <w:t>ustice ont « </w:t>
      </w:r>
      <w:r w:rsidRPr="00695693">
        <w:rPr>
          <w:rFonts w:ascii="Times New Roman" w:hAnsi="Times New Roman" w:cs="Times New Roman"/>
          <w:i/>
          <w:sz w:val="24"/>
          <w:szCs w:val="24"/>
        </w:rPr>
        <w:t>pour mission régulatrice précisément d’assurer le respect du droit dans l’interprétation et l’application du Traité</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336"/>
      </w:r>
      <w:r w:rsidRPr="00695693">
        <w:rPr>
          <w:rFonts w:ascii="Times New Roman" w:hAnsi="Times New Roman" w:cs="Times New Roman"/>
          <w:sz w:val="24"/>
          <w:szCs w:val="24"/>
        </w:rPr>
        <w:t>.</w:t>
      </w:r>
    </w:p>
    <w:p w:rsidR="00694424" w:rsidRPr="00695693" w:rsidRDefault="00576670"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Cependant, même si la Cour de j</w:t>
      </w:r>
      <w:r w:rsidR="00694424" w:rsidRPr="00695693">
        <w:rPr>
          <w:rFonts w:ascii="Times New Roman" w:hAnsi="Times New Roman" w:cs="Times New Roman"/>
          <w:sz w:val="24"/>
          <w:szCs w:val="24"/>
        </w:rPr>
        <w:t>ustice est saisie d’une question préjudicielle et que celle-ci y réponde, l’organe national à l’origine de la ques</w:t>
      </w:r>
      <w:r w:rsidR="00E23046" w:rsidRPr="00695693">
        <w:rPr>
          <w:rFonts w:ascii="Times New Roman" w:hAnsi="Times New Roman" w:cs="Times New Roman"/>
          <w:sz w:val="24"/>
          <w:szCs w:val="24"/>
        </w:rPr>
        <w:t xml:space="preserve">tion peut être </w:t>
      </w:r>
      <w:r w:rsidR="00133FCE" w:rsidRPr="00695693">
        <w:rPr>
          <w:rFonts w:ascii="Times New Roman" w:hAnsi="Times New Roman" w:cs="Times New Roman"/>
          <w:sz w:val="24"/>
          <w:szCs w:val="24"/>
        </w:rPr>
        <w:t xml:space="preserve">tenté d’ignorer </w:t>
      </w:r>
      <w:r w:rsidR="00694424" w:rsidRPr="00695693">
        <w:rPr>
          <w:rFonts w:ascii="Times New Roman" w:hAnsi="Times New Roman" w:cs="Times New Roman"/>
          <w:sz w:val="24"/>
          <w:szCs w:val="24"/>
        </w:rPr>
        <w:t>la réponse de la Cour, notamment en refusant de la prendre en compte pour le règlement du litige national et en préférant toujours une nouvelle saisine de la Cour : c’est l’hypothèse de réitérer en matière préjudicielle. Cette possibilité de réitérer en cas du recours préjudiciel n’est pas proscrite par le lég</w:t>
      </w:r>
      <w:r w:rsidR="00B40C0A" w:rsidRPr="00695693">
        <w:rPr>
          <w:rFonts w:ascii="Times New Roman" w:hAnsi="Times New Roman" w:cs="Times New Roman"/>
          <w:sz w:val="24"/>
          <w:szCs w:val="24"/>
        </w:rPr>
        <w:t>islateur CEDEAO de 2005.</w:t>
      </w:r>
    </w:p>
    <w:p w:rsidR="00694424" w:rsidRPr="008159B8" w:rsidRDefault="00694424" w:rsidP="0037430F">
      <w:pPr>
        <w:pStyle w:val="Titre5"/>
      </w:pPr>
      <w:bookmarkStart w:id="97" w:name="_Toc518672832"/>
      <w:r w:rsidRPr="008159B8">
        <w:t>B. Absence d’interdiction de réitérer en matière préjudicielle</w:t>
      </w:r>
      <w:bookmarkEnd w:id="97"/>
    </w:p>
    <w:p w:rsidR="00694424" w:rsidRPr="00695693" w:rsidRDefault="00EA15F0"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Etant donné que la Cour de j</w:t>
      </w:r>
      <w:r w:rsidR="00694424" w:rsidRPr="00695693">
        <w:rPr>
          <w:rFonts w:ascii="Times New Roman" w:hAnsi="Times New Roman" w:cs="Times New Roman"/>
          <w:sz w:val="24"/>
          <w:szCs w:val="24"/>
        </w:rPr>
        <w:t>ustice a pour mission d’assurer le respect du droit de la communauté dans l’interprétation et l’application des dispositions du Traité et des actes dérivés</w:t>
      </w:r>
      <w:r w:rsidR="00694424" w:rsidRPr="00695693">
        <w:rPr>
          <w:rStyle w:val="Appelnotedebasdep"/>
          <w:rFonts w:ascii="Times New Roman" w:hAnsi="Times New Roman" w:cs="Times New Roman"/>
          <w:sz w:val="24"/>
          <w:szCs w:val="24"/>
        </w:rPr>
        <w:footnoteReference w:id="337"/>
      </w:r>
      <w:r w:rsidR="00694424" w:rsidRPr="00695693">
        <w:rPr>
          <w:rFonts w:ascii="Times New Roman" w:hAnsi="Times New Roman" w:cs="Times New Roman"/>
          <w:sz w:val="24"/>
          <w:szCs w:val="24"/>
        </w:rPr>
        <w:t>, il lui appartient alors, en cas du recours préjudiciel, de fournir une interprétation ou appréciation authentique et uniforme de la norme communautaire en cause. La décision qu’elle va rendre s’imposera tant à l’organe national à l’origine de renvoi qu’à toutes les autres instances nationales des Etats parties à la communauté</w:t>
      </w:r>
      <w:r w:rsidR="00694424" w:rsidRPr="00695693">
        <w:rPr>
          <w:rStyle w:val="Appelnotedebasdep"/>
          <w:rFonts w:ascii="Times New Roman" w:hAnsi="Times New Roman" w:cs="Times New Roman"/>
          <w:sz w:val="24"/>
          <w:szCs w:val="24"/>
        </w:rPr>
        <w:footnoteReference w:id="338"/>
      </w:r>
      <w:r w:rsidR="00FC33F1" w:rsidRPr="00695693">
        <w:rPr>
          <w:rFonts w:ascii="Times New Roman" w:hAnsi="Times New Roman" w:cs="Times New Roman"/>
          <w:sz w:val="24"/>
          <w:szCs w:val="24"/>
        </w:rPr>
        <w:t>.</w:t>
      </w:r>
      <w:r w:rsidR="00694424" w:rsidRPr="00695693">
        <w:rPr>
          <w:rFonts w:ascii="Times New Roman" w:hAnsi="Times New Roman" w:cs="Times New Roman"/>
          <w:sz w:val="24"/>
          <w:szCs w:val="24"/>
        </w:rPr>
        <w:t xml:space="preserve"> Cependant, </w:t>
      </w:r>
      <w:r w:rsidR="00FC33F1" w:rsidRPr="00695693">
        <w:rPr>
          <w:rFonts w:ascii="Times New Roman" w:hAnsi="Times New Roman" w:cs="Times New Roman"/>
          <w:sz w:val="24"/>
          <w:szCs w:val="24"/>
        </w:rPr>
        <w:t>cette</w:t>
      </w:r>
      <w:r w:rsidR="00694424" w:rsidRPr="00695693">
        <w:rPr>
          <w:rFonts w:ascii="Times New Roman" w:hAnsi="Times New Roman" w:cs="Times New Roman"/>
          <w:sz w:val="24"/>
          <w:szCs w:val="24"/>
        </w:rPr>
        <w:t xml:space="preserve"> décision de la Cour ne s’imposera au juge qui a procédé au renvoi qu’à condition qu’elle lui permette de résoudre au fond le litige dont il est saisi</w:t>
      </w:r>
      <w:r w:rsidR="00694424" w:rsidRPr="00695693">
        <w:rPr>
          <w:rStyle w:val="Appelnotedebasdep"/>
          <w:rFonts w:ascii="Times New Roman" w:hAnsi="Times New Roman" w:cs="Times New Roman"/>
          <w:sz w:val="24"/>
          <w:szCs w:val="24"/>
        </w:rPr>
        <w:footnoteReference w:id="339"/>
      </w:r>
      <w:r w:rsidR="00694424" w:rsidRPr="00695693">
        <w:rPr>
          <w:rFonts w:ascii="Times New Roman" w:hAnsi="Times New Roman" w:cs="Times New Roman"/>
          <w:sz w:val="24"/>
          <w:szCs w:val="24"/>
        </w:rPr>
        <w:t xml:space="preserve">. S’il en est autrement, rien ne s’opposera à ce </w:t>
      </w:r>
      <w:r w:rsidR="00694424" w:rsidRPr="00695693">
        <w:rPr>
          <w:rFonts w:ascii="Times New Roman" w:hAnsi="Times New Roman" w:cs="Times New Roman"/>
          <w:sz w:val="24"/>
          <w:szCs w:val="24"/>
        </w:rPr>
        <w:lastRenderedPageBreak/>
        <w:t>qu</w:t>
      </w:r>
      <w:r w:rsidR="00FC33F1" w:rsidRPr="00695693">
        <w:rPr>
          <w:rFonts w:ascii="Times New Roman" w:hAnsi="Times New Roman" w:cs="Times New Roman"/>
          <w:sz w:val="24"/>
          <w:szCs w:val="24"/>
        </w:rPr>
        <w:t>’il</w:t>
      </w:r>
      <w:r w:rsidR="00694424" w:rsidRPr="00695693">
        <w:rPr>
          <w:rFonts w:ascii="Times New Roman" w:hAnsi="Times New Roman" w:cs="Times New Roman"/>
          <w:sz w:val="24"/>
          <w:szCs w:val="24"/>
        </w:rPr>
        <w:t>saisisse à nouveau la Cour de</w:t>
      </w:r>
      <w:r w:rsidRPr="00695693">
        <w:rPr>
          <w:rFonts w:ascii="Times New Roman" w:hAnsi="Times New Roman" w:cs="Times New Roman"/>
          <w:sz w:val="24"/>
          <w:szCs w:val="24"/>
        </w:rPr>
        <w:t xml:space="preserve"> j</w:t>
      </w:r>
      <w:r w:rsidR="00694424" w:rsidRPr="00695693">
        <w:rPr>
          <w:rFonts w:ascii="Times New Roman" w:hAnsi="Times New Roman" w:cs="Times New Roman"/>
          <w:sz w:val="24"/>
          <w:szCs w:val="24"/>
        </w:rPr>
        <w:t>ustice</w:t>
      </w:r>
      <w:r w:rsidR="00694424" w:rsidRPr="00695693">
        <w:rPr>
          <w:rStyle w:val="Appelnotedebasdep"/>
          <w:rFonts w:ascii="Times New Roman" w:hAnsi="Times New Roman" w:cs="Times New Roman"/>
          <w:sz w:val="24"/>
          <w:szCs w:val="24"/>
        </w:rPr>
        <w:footnoteReference w:id="340"/>
      </w:r>
      <w:r w:rsidR="00694424" w:rsidRPr="00695693">
        <w:rPr>
          <w:rFonts w:ascii="Times New Roman" w:hAnsi="Times New Roman" w:cs="Times New Roman"/>
          <w:sz w:val="24"/>
          <w:szCs w:val="24"/>
        </w:rPr>
        <w:t>. En ce sens, il peut solliciter une nouvelle décision préjudicielle s’il l’estime nécessaire pour trancher le litige dont il est saisi</w:t>
      </w:r>
      <w:r w:rsidR="00694424" w:rsidRPr="00695693">
        <w:rPr>
          <w:rStyle w:val="Appelnotedebasdep"/>
          <w:rFonts w:ascii="Times New Roman" w:hAnsi="Times New Roman" w:cs="Times New Roman"/>
          <w:sz w:val="24"/>
          <w:szCs w:val="24"/>
        </w:rPr>
        <w:footnoteReference w:id="341"/>
      </w:r>
      <w:r w:rsidR="00694424" w:rsidRPr="00695693">
        <w:rPr>
          <w:rFonts w:ascii="Times New Roman" w:hAnsi="Times New Roman" w:cs="Times New Roman"/>
          <w:sz w:val="24"/>
          <w:szCs w:val="24"/>
        </w:rPr>
        <w:t>. C’est dans cette optique qu’on parle de la possibilité de réitérer en matière préjudicielle. Ainsi, en théorie, rien ne s’oppose à l’application de cette possibilité devant la CJ/CEDEAO puisque le Protocole additionnel ne comporte aucune prohibition de réitérer en matière préjudiciel</w:t>
      </w:r>
      <w:r w:rsidR="00FB62BF" w:rsidRPr="00695693">
        <w:rPr>
          <w:rFonts w:ascii="Times New Roman" w:hAnsi="Times New Roman" w:cs="Times New Roman"/>
          <w:sz w:val="24"/>
          <w:szCs w:val="24"/>
        </w:rPr>
        <w:t>le</w:t>
      </w:r>
      <w:r w:rsidR="00694424" w:rsidRPr="00695693">
        <w:rPr>
          <w:rFonts w:ascii="Times New Roman" w:hAnsi="Times New Roman" w:cs="Times New Roman"/>
          <w:sz w:val="24"/>
          <w:szCs w:val="24"/>
        </w:rPr>
        <w:t>. Il revient seulement au juge de renvoi qui entend saisir à nouveau la</w:t>
      </w:r>
      <w:r w:rsidR="00C91059" w:rsidRPr="00695693">
        <w:rPr>
          <w:rFonts w:ascii="Times New Roman" w:hAnsi="Times New Roman" w:cs="Times New Roman"/>
          <w:sz w:val="24"/>
          <w:szCs w:val="24"/>
        </w:rPr>
        <w:t xml:space="preserve"> Cour de j</w:t>
      </w:r>
      <w:r w:rsidR="00694424" w:rsidRPr="00695693">
        <w:rPr>
          <w:rFonts w:ascii="Times New Roman" w:hAnsi="Times New Roman" w:cs="Times New Roman"/>
          <w:sz w:val="24"/>
          <w:szCs w:val="24"/>
        </w:rPr>
        <w:t xml:space="preserve">ustice d’exposer clairement les raisons pour lesquelles il </w:t>
      </w:r>
      <w:r w:rsidR="00694424" w:rsidRPr="00F85C9F">
        <w:rPr>
          <w:rFonts w:ascii="Times New Roman" w:hAnsi="Times New Roman" w:cs="Times New Roman"/>
          <w:sz w:val="24"/>
          <w:szCs w:val="24"/>
        </w:rPr>
        <w:t>estime</w:t>
      </w:r>
      <w:r w:rsidR="00694424" w:rsidRPr="00695693">
        <w:rPr>
          <w:rFonts w:ascii="Times New Roman" w:hAnsi="Times New Roman" w:cs="Times New Roman"/>
          <w:sz w:val="24"/>
          <w:szCs w:val="24"/>
        </w:rPr>
        <w:t xml:space="preserve"> qu’un </w:t>
      </w:r>
      <w:r w:rsidR="00694424" w:rsidRPr="00F85C9F">
        <w:rPr>
          <w:rFonts w:ascii="Times New Roman" w:hAnsi="Times New Roman" w:cs="Times New Roman"/>
          <w:sz w:val="24"/>
          <w:szCs w:val="24"/>
        </w:rPr>
        <w:t>réexamen</w:t>
      </w:r>
      <w:r w:rsidR="00694424" w:rsidRPr="00695693">
        <w:rPr>
          <w:rFonts w:ascii="Times New Roman" w:hAnsi="Times New Roman" w:cs="Times New Roman"/>
          <w:sz w:val="24"/>
          <w:szCs w:val="24"/>
        </w:rPr>
        <w:t xml:space="preserve"> de </w:t>
      </w:r>
      <w:r w:rsidR="00694424" w:rsidRPr="00F85C9F">
        <w:rPr>
          <w:rFonts w:ascii="Times New Roman" w:hAnsi="Times New Roman" w:cs="Times New Roman"/>
          <w:sz w:val="24"/>
          <w:szCs w:val="24"/>
        </w:rPr>
        <w:t>la</w:t>
      </w:r>
      <w:r w:rsidR="00694424" w:rsidRPr="00695693">
        <w:rPr>
          <w:rFonts w:ascii="Times New Roman" w:hAnsi="Times New Roman" w:cs="Times New Roman"/>
          <w:sz w:val="24"/>
          <w:szCs w:val="24"/>
        </w:rPr>
        <w:t xml:space="preserve"> question est nécessaire.</w:t>
      </w:r>
    </w:p>
    <w:p w:rsidR="001C74BB" w:rsidRPr="00BB55A3" w:rsidRDefault="00FB62BF"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Néanmoins</w:t>
      </w:r>
      <w:r w:rsidR="00694424" w:rsidRPr="00695693">
        <w:rPr>
          <w:rFonts w:ascii="Times New Roman" w:hAnsi="Times New Roman" w:cs="Times New Roman"/>
          <w:sz w:val="24"/>
          <w:szCs w:val="24"/>
        </w:rPr>
        <w:t xml:space="preserve">, l’usage excessif de cette faculté de réitérer n’est pas sans </w:t>
      </w:r>
      <w:r w:rsidR="00C91059" w:rsidRPr="00695693">
        <w:rPr>
          <w:rFonts w:ascii="Times New Roman" w:hAnsi="Times New Roman" w:cs="Times New Roman"/>
          <w:sz w:val="24"/>
          <w:szCs w:val="24"/>
        </w:rPr>
        <w:t xml:space="preserve">encombre </w:t>
      </w:r>
      <w:r w:rsidR="00694424" w:rsidRPr="00695693">
        <w:rPr>
          <w:rFonts w:ascii="Times New Roman" w:hAnsi="Times New Roman" w:cs="Times New Roman"/>
          <w:sz w:val="24"/>
          <w:szCs w:val="24"/>
        </w:rPr>
        <w:t>surtout  lorsque le renvoi est soumis à une procédure d’urgence</w:t>
      </w:r>
      <w:r w:rsidR="00694424" w:rsidRPr="00695693">
        <w:rPr>
          <w:rStyle w:val="Appelnotedebasdep"/>
          <w:rFonts w:ascii="Times New Roman" w:hAnsi="Times New Roman" w:cs="Times New Roman"/>
          <w:sz w:val="24"/>
          <w:szCs w:val="24"/>
        </w:rPr>
        <w:footnoteReference w:id="342"/>
      </w:r>
      <w:r w:rsidR="00694424" w:rsidRPr="00695693">
        <w:rPr>
          <w:rFonts w:ascii="Times New Roman" w:hAnsi="Times New Roman" w:cs="Times New Roman"/>
          <w:sz w:val="24"/>
          <w:szCs w:val="24"/>
        </w:rPr>
        <w:t>, laquelle exige de « </w:t>
      </w:r>
      <w:r w:rsidR="00694424" w:rsidRPr="00695693">
        <w:rPr>
          <w:rFonts w:ascii="Times New Roman" w:hAnsi="Times New Roman" w:cs="Times New Roman"/>
          <w:i/>
          <w:sz w:val="24"/>
          <w:szCs w:val="24"/>
        </w:rPr>
        <w:t>traiter rapidement et correctement</w:t>
      </w:r>
      <w:r w:rsidR="00694424" w:rsidRPr="00695693">
        <w:rPr>
          <w:rFonts w:ascii="Times New Roman" w:hAnsi="Times New Roman" w:cs="Times New Roman"/>
          <w:sz w:val="24"/>
          <w:szCs w:val="24"/>
        </w:rPr>
        <w:t> » la ou les questions posées</w:t>
      </w:r>
      <w:r w:rsidR="00694424" w:rsidRPr="00695693">
        <w:rPr>
          <w:rStyle w:val="Appelnotedebasdep"/>
          <w:rFonts w:ascii="Times New Roman" w:hAnsi="Times New Roman" w:cs="Times New Roman"/>
          <w:sz w:val="24"/>
          <w:szCs w:val="24"/>
        </w:rPr>
        <w:footnoteReference w:id="343"/>
      </w:r>
      <w:r w:rsidR="00694424" w:rsidRPr="00695693">
        <w:rPr>
          <w:rFonts w:ascii="Times New Roman" w:hAnsi="Times New Roman" w:cs="Times New Roman"/>
          <w:sz w:val="24"/>
          <w:szCs w:val="24"/>
        </w:rPr>
        <w:t xml:space="preserve">. Parmi les problèmes susceptibles d’être </w:t>
      </w:r>
      <w:r w:rsidR="00544C53" w:rsidRPr="00695693">
        <w:rPr>
          <w:rFonts w:ascii="Times New Roman" w:hAnsi="Times New Roman" w:cs="Times New Roman"/>
          <w:sz w:val="24"/>
          <w:szCs w:val="24"/>
        </w:rPr>
        <w:t>engendrés figure</w:t>
      </w:r>
      <w:r w:rsidR="00694424" w:rsidRPr="00F85C9F">
        <w:rPr>
          <w:rFonts w:ascii="Times New Roman" w:hAnsi="Times New Roman" w:cs="Times New Roman"/>
          <w:sz w:val="24"/>
          <w:szCs w:val="24"/>
        </w:rPr>
        <w:t>l</w:t>
      </w:r>
      <w:r w:rsidR="00E169C4" w:rsidRPr="00F85C9F">
        <w:rPr>
          <w:rFonts w:ascii="Times New Roman" w:hAnsi="Times New Roman" w:cs="Times New Roman"/>
          <w:sz w:val="24"/>
          <w:szCs w:val="24"/>
        </w:rPr>
        <w:t xml:space="preserve">’allongement de la durée </w:t>
      </w:r>
      <w:r w:rsidR="00694424" w:rsidRPr="00F85C9F">
        <w:rPr>
          <w:rFonts w:ascii="Times New Roman" w:hAnsi="Times New Roman" w:cs="Times New Roman"/>
          <w:sz w:val="24"/>
          <w:szCs w:val="24"/>
        </w:rPr>
        <w:t xml:space="preserve">de la procédure </w:t>
      </w:r>
      <w:r w:rsidR="0005785B" w:rsidRPr="00F85C9F">
        <w:rPr>
          <w:rFonts w:ascii="Times New Roman" w:hAnsi="Times New Roman" w:cs="Times New Roman"/>
          <w:sz w:val="24"/>
          <w:szCs w:val="24"/>
        </w:rPr>
        <w:t xml:space="preserve">dans l’affaire </w:t>
      </w:r>
      <w:r w:rsidR="00694424" w:rsidRPr="00F85C9F">
        <w:rPr>
          <w:rFonts w:ascii="Times New Roman" w:hAnsi="Times New Roman" w:cs="Times New Roman"/>
          <w:sz w:val="24"/>
          <w:szCs w:val="24"/>
        </w:rPr>
        <w:t>au principal</w:t>
      </w:r>
      <w:r w:rsidR="00141359" w:rsidRPr="00F85C9F">
        <w:rPr>
          <w:rStyle w:val="Appelnotedebasdep"/>
          <w:rFonts w:ascii="Times New Roman" w:hAnsi="Times New Roman" w:cs="Times New Roman"/>
          <w:sz w:val="24"/>
          <w:szCs w:val="24"/>
        </w:rPr>
        <w:footnoteReference w:id="344"/>
      </w:r>
      <w:r w:rsidR="00694424" w:rsidRPr="00F85C9F">
        <w:rPr>
          <w:rFonts w:ascii="Times New Roman" w:hAnsi="Times New Roman" w:cs="Times New Roman"/>
          <w:sz w:val="24"/>
          <w:szCs w:val="24"/>
        </w:rPr>
        <w:t>. C’est pourqu</w:t>
      </w:r>
      <w:r w:rsidR="00694424" w:rsidRPr="00C84580">
        <w:rPr>
          <w:rFonts w:ascii="Times New Roman" w:hAnsi="Times New Roman" w:cs="Times New Roman"/>
          <w:sz w:val="24"/>
          <w:szCs w:val="24"/>
        </w:rPr>
        <w:t>oi, il serait préférable pour le législateur CEDEAO de consacrer expressément cette possibilité de réitérer en matière préjudicielle et de la limiter à la procédure ordinaire du renvoi</w:t>
      </w:r>
      <w:r w:rsidRPr="00C84580">
        <w:rPr>
          <w:rStyle w:val="Appelnotedebasdep"/>
          <w:rFonts w:ascii="Times New Roman" w:hAnsi="Times New Roman" w:cs="Times New Roman"/>
          <w:sz w:val="24"/>
          <w:szCs w:val="24"/>
        </w:rPr>
        <w:footnoteReference w:id="345"/>
      </w:r>
      <w:r w:rsidR="00694424" w:rsidRPr="00C84580">
        <w:rPr>
          <w:rFonts w:ascii="Times New Roman" w:hAnsi="Times New Roman" w:cs="Times New Roman"/>
          <w:sz w:val="24"/>
          <w:szCs w:val="24"/>
        </w:rPr>
        <w:t>.</w:t>
      </w:r>
      <w:r w:rsidR="00BB55A3">
        <w:rPr>
          <w:rFonts w:ascii="Times New Roman" w:hAnsi="Times New Roman" w:cs="Times New Roman"/>
          <w:sz w:val="24"/>
          <w:szCs w:val="24"/>
        </w:rPr>
        <w:t xml:space="preserve">Cette situation est intéressante dans la jurisprudence de la CJUE, notamment dans une ordonnance rendue le 5 mars 1986 où la Cour </w:t>
      </w:r>
      <w:r w:rsidR="00BB55A3" w:rsidRPr="00BB55A3">
        <w:rPr>
          <w:rFonts w:ascii="Times New Roman" w:hAnsi="Times New Roman" w:cs="Times New Roman"/>
          <w:sz w:val="24"/>
          <w:szCs w:val="24"/>
        </w:rPr>
        <w:t>a systématisé les différentes situations qui peuvent conduire le juge national à demander une nouvelle interprétation.</w:t>
      </w:r>
      <w:r w:rsidR="00BB55A3">
        <w:rPr>
          <w:rFonts w:ascii="Times New Roman" w:hAnsi="Times New Roman" w:cs="Times New Roman"/>
          <w:sz w:val="24"/>
          <w:szCs w:val="24"/>
        </w:rPr>
        <w:t xml:space="preserve"> En l’</w:t>
      </w:r>
      <w:r w:rsidR="00085014">
        <w:rPr>
          <w:rFonts w:ascii="Times New Roman" w:hAnsi="Times New Roman" w:cs="Times New Roman"/>
          <w:sz w:val="24"/>
          <w:szCs w:val="24"/>
        </w:rPr>
        <w:t xml:space="preserve">espèce, la </w:t>
      </w:r>
      <w:r w:rsidR="00671942">
        <w:rPr>
          <w:rFonts w:ascii="Times New Roman" w:hAnsi="Times New Roman" w:cs="Times New Roman"/>
          <w:sz w:val="24"/>
          <w:szCs w:val="24"/>
        </w:rPr>
        <w:t>Cour n’a</w:t>
      </w:r>
      <w:r w:rsidR="00085014">
        <w:rPr>
          <w:rFonts w:ascii="Times New Roman" w:hAnsi="Times New Roman" w:cs="Times New Roman"/>
          <w:sz w:val="24"/>
          <w:szCs w:val="24"/>
        </w:rPr>
        <w:t xml:space="preserve"> énoncéque l’autorité de son arrêt préjudiciel ne fait pas obstacle à ce que le juge de renvoi saisisse à nouveau la Cour avant de trancher le litige au principal. Toutefois, selon la Cour, </w:t>
      </w:r>
      <w:r w:rsidR="00694424" w:rsidRPr="00695693">
        <w:rPr>
          <w:rFonts w:ascii="Times New Roman" w:hAnsi="Times New Roman" w:cs="Times New Roman"/>
          <w:sz w:val="24"/>
          <w:szCs w:val="24"/>
        </w:rPr>
        <w:t>« </w:t>
      </w:r>
      <w:r w:rsidR="00085014">
        <w:rPr>
          <w:rFonts w:ascii="Times New Roman" w:hAnsi="Times New Roman" w:cs="Times New Roman"/>
          <w:i/>
          <w:sz w:val="24"/>
          <w:szCs w:val="24"/>
        </w:rPr>
        <w:t>u</w:t>
      </w:r>
      <w:r w:rsidR="00694424" w:rsidRPr="00695693">
        <w:rPr>
          <w:rFonts w:ascii="Times New Roman" w:hAnsi="Times New Roman" w:cs="Times New Roman"/>
          <w:i/>
          <w:sz w:val="24"/>
          <w:szCs w:val="24"/>
        </w:rPr>
        <w:t xml:space="preserve">n tel recours peut être justifié lorsque le juge national se heurte à des difficultés de compréhension ou d’application de l’arrêt, lorsqu’il se pose à la Cour une nouvelle question </w:t>
      </w:r>
      <w:r w:rsidR="00694424" w:rsidRPr="00695693">
        <w:rPr>
          <w:rFonts w:ascii="Times New Roman" w:hAnsi="Times New Roman" w:cs="Times New Roman"/>
          <w:i/>
          <w:sz w:val="24"/>
          <w:szCs w:val="24"/>
        </w:rPr>
        <w:lastRenderedPageBreak/>
        <w:t>de droit, ou encore lorsqu’il lui soumet de nouveaux éléments d’appréciation susceptibles de conduire la Cour à répondre différemment à une question déjà posée</w:t>
      </w:r>
      <w:r w:rsidR="00694424" w:rsidRPr="00695693">
        <w:rPr>
          <w:rFonts w:ascii="Times New Roman" w:hAnsi="Times New Roman" w:cs="Times New Roman"/>
          <w:sz w:val="24"/>
          <w:szCs w:val="24"/>
        </w:rPr>
        <w:t> »</w:t>
      </w:r>
      <w:r w:rsidR="00694424" w:rsidRPr="00695693">
        <w:rPr>
          <w:rStyle w:val="Appelnotedebasdep"/>
          <w:rFonts w:ascii="Times New Roman" w:hAnsi="Times New Roman" w:cs="Times New Roman"/>
          <w:sz w:val="24"/>
          <w:szCs w:val="24"/>
        </w:rPr>
        <w:footnoteReference w:id="346"/>
      </w:r>
      <w:r w:rsidR="00B072CC" w:rsidRPr="00695693">
        <w:rPr>
          <w:rFonts w:ascii="Times New Roman" w:hAnsi="Times New Roman" w:cs="Times New Roman"/>
          <w:sz w:val="24"/>
          <w:szCs w:val="24"/>
        </w:rPr>
        <w:t>.</w:t>
      </w:r>
    </w:p>
    <w:p w:rsidR="00C31DD4" w:rsidRPr="00695693" w:rsidRDefault="00A61A9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Cependant</w:t>
      </w:r>
      <w:r w:rsidR="00694424" w:rsidRPr="00695693">
        <w:rPr>
          <w:rFonts w:ascii="Times New Roman" w:hAnsi="Times New Roman" w:cs="Times New Roman"/>
          <w:sz w:val="24"/>
          <w:szCs w:val="24"/>
        </w:rPr>
        <w:t xml:space="preserve">, il </w:t>
      </w:r>
      <w:r w:rsidRPr="00695693">
        <w:rPr>
          <w:rFonts w:ascii="Times New Roman" w:hAnsi="Times New Roman" w:cs="Times New Roman"/>
          <w:sz w:val="24"/>
          <w:szCs w:val="24"/>
        </w:rPr>
        <w:t>y a lieu de retenir que toutes l</w:t>
      </w:r>
      <w:r w:rsidR="00694424" w:rsidRPr="00695693">
        <w:rPr>
          <w:rFonts w:ascii="Times New Roman" w:hAnsi="Times New Roman" w:cs="Times New Roman"/>
          <w:sz w:val="24"/>
          <w:szCs w:val="24"/>
        </w:rPr>
        <w:t xml:space="preserve">es difficultés </w:t>
      </w:r>
      <w:r w:rsidR="00D7105D">
        <w:rPr>
          <w:rFonts w:ascii="Times New Roman" w:hAnsi="Times New Roman" w:cs="Times New Roman"/>
          <w:sz w:val="24"/>
          <w:szCs w:val="24"/>
        </w:rPr>
        <w:t xml:space="preserve">matérielles </w:t>
      </w:r>
      <w:r w:rsidR="00694424" w:rsidRPr="00695693">
        <w:rPr>
          <w:rFonts w:ascii="Times New Roman" w:hAnsi="Times New Roman" w:cs="Times New Roman"/>
          <w:sz w:val="24"/>
          <w:szCs w:val="24"/>
        </w:rPr>
        <w:t>décrites ci-dessus ne sont pas les seules à entraver le</w:t>
      </w:r>
      <w:r w:rsidR="00FF5E8A" w:rsidRPr="00695693">
        <w:rPr>
          <w:rFonts w:ascii="Times New Roman" w:hAnsi="Times New Roman" w:cs="Times New Roman"/>
          <w:sz w:val="24"/>
          <w:szCs w:val="24"/>
        </w:rPr>
        <w:t xml:space="preserve"> recours</w:t>
      </w:r>
      <w:r w:rsidRPr="00695693">
        <w:rPr>
          <w:rFonts w:ascii="Times New Roman" w:hAnsi="Times New Roman" w:cs="Times New Roman"/>
          <w:sz w:val="24"/>
          <w:szCs w:val="24"/>
        </w:rPr>
        <w:t xml:space="preserve"> préjudiciel</w:t>
      </w:r>
      <w:r w:rsidR="00694424" w:rsidRPr="00695693">
        <w:rPr>
          <w:rFonts w:ascii="Times New Roman" w:hAnsi="Times New Roman" w:cs="Times New Roman"/>
          <w:sz w:val="24"/>
          <w:szCs w:val="24"/>
        </w:rPr>
        <w:t xml:space="preserve">. Ainsi, le système communautaire de la CEDEAO laisse </w:t>
      </w:r>
      <w:r w:rsidR="00133FCE" w:rsidRPr="00695693">
        <w:rPr>
          <w:rFonts w:ascii="Times New Roman" w:hAnsi="Times New Roman" w:cs="Times New Roman"/>
          <w:sz w:val="24"/>
          <w:szCs w:val="24"/>
        </w:rPr>
        <w:t xml:space="preserve">apparaître </w:t>
      </w:r>
      <w:r w:rsidR="00694424" w:rsidRPr="00695693">
        <w:rPr>
          <w:rFonts w:ascii="Times New Roman" w:hAnsi="Times New Roman" w:cs="Times New Roman"/>
          <w:sz w:val="24"/>
          <w:szCs w:val="24"/>
        </w:rPr>
        <w:t xml:space="preserve">une certaine fragilité de la juridiction communautaire. </w:t>
      </w:r>
    </w:p>
    <w:p w:rsidR="00694424" w:rsidRPr="00695693" w:rsidRDefault="00694424" w:rsidP="007A4443">
      <w:pPr>
        <w:pStyle w:val="Titre3"/>
      </w:pPr>
      <w:bookmarkStart w:id="98" w:name="_Toc515108236"/>
      <w:bookmarkStart w:id="99" w:name="_Toc518671717"/>
      <w:bookmarkStart w:id="100" w:name="_Toc518672833"/>
      <w:r w:rsidRPr="00695693">
        <w:t xml:space="preserve">SECTION </w:t>
      </w:r>
      <w:r w:rsidR="00036959" w:rsidRPr="00695693">
        <w:t>II</w:t>
      </w:r>
      <w:r w:rsidRPr="00695693">
        <w:t> : LA FRAGILITE DE LA JURIDICTION COMMUNAUTAIRE</w:t>
      </w:r>
      <w:bookmarkEnd w:id="98"/>
      <w:bookmarkEnd w:id="99"/>
      <w:bookmarkEnd w:id="100"/>
    </w:p>
    <w:p w:rsidR="00694424" w:rsidRPr="00695693" w:rsidRDefault="00C801B0" w:rsidP="006956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Elle </w:t>
      </w:r>
      <w:r w:rsidR="00065AAA">
        <w:rPr>
          <w:rFonts w:ascii="Times New Roman" w:hAnsi="Times New Roman" w:cs="Times New Roman"/>
          <w:sz w:val="24"/>
          <w:szCs w:val="24"/>
        </w:rPr>
        <w:t>renvoie matériellement aux</w:t>
      </w:r>
      <w:r w:rsidR="00B777E0">
        <w:rPr>
          <w:rFonts w:ascii="Times New Roman" w:hAnsi="Times New Roman" w:cs="Times New Roman"/>
          <w:sz w:val="24"/>
          <w:szCs w:val="24"/>
        </w:rPr>
        <w:t xml:space="preserve"> différents </w:t>
      </w:r>
      <w:r w:rsidR="00694424" w:rsidRPr="00695693">
        <w:rPr>
          <w:rFonts w:ascii="Times New Roman" w:hAnsi="Times New Roman" w:cs="Times New Roman"/>
          <w:sz w:val="24"/>
          <w:szCs w:val="24"/>
        </w:rPr>
        <w:t xml:space="preserve">obstacles liés à lajuridiction </w:t>
      </w:r>
      <w:r w:rsidR="006F355C">
        <w:rPr>
          <w:rFonts w:ascii="Times New Roman" w:hAnsi="Times New Roman" w:cs="Times New Roman"/>
          <w:sz w:val="24"/>
          <w:szCs w:val="24"/>
        </w:rPr>
        <w:t xml:space="preserve">communautaire </w:t>
      </w:r>
      <w:r w:rsidR="00694424" w:rsidRPr="00695693">
        <w:rPr>
          <w:rFonts w:ascii="Times New Roman" w:hAnsi="Times New Roman" w:cs="Times New Roman"/>
          <w:sz w:val="24"/>
          <w:szCs w:val="24"/>
        </w:rPr>
        <w:t>et</w:t>
      </w:r>
      <w:r w:rsidR="00065AAA">
        <w:rPr>
          <w:rFonts w:ascii="Times New Roman" w:hAnsi="Times New Roman" w:cs="Times New Roman"/>
          <w:sz w:val="24"/>
          <w:szCs w:val="24"/>
        </w:rPr>
        <w:t xml:space="preserve"> susceptibles de porter</w:t>
      </w:r>
      <w:r w:rsidR="00694424" w:rsidRPr="00695693">
        <w:rPr>
          <w:rFonts w:ascii="Times New Roman" w:hAnsi="Times New Roman" w:cs="Times New Roman"/>
          <w:sz w:val="24"/>
          <w:szCs w:val="24"/>
        </w:rPr>
        <w:t xml:space="preserve"> atteinte à l’effectivité même du renvoi préjudiciel. En droit CEDEAO, ces obstacles sont nombreux</w:t>
      </w:r>
      <w:r w:rsidR="00FC6875" w:rsidRPr="00695693">
        <w:rPr>
          <w:rFonts w:ascii="Times New Roman" w:hAnsi="Times New Roman" w:cs="Times New Roman"/>
          <w:sz w:val="24"/>
          <w:szCs w:val="24"/>
        </w:rPr>
        <w:t xml:space="preserve"> et </w:t>
      </w:r>
      <w:r w:rsidR="00694424" w:rsidRPr="00695693">
        <w:rPr>
          <w:rFonts w:ascii="Times New Roman" w:hAnsi="Times New Roman" w:cs="Times New Roman"/>
          <w:sz w:val="24"/>
          <w:szCs w:val="24"/>
        </w:rPr>
        <w:t xml:space="preserve">peuvent se regrouper en deux archétypes : les précarités juridiques </w:t>
      </w:r>
      <w:r w:rsidR="00694424" w:rsidRPr="00D3376B">
        <w:rPr>
          <w:rFonts w:ascii="Times New Roman" w:hAnsi="Times New Roman" w:cs="Times New Roman"/>
          <w:b/>
          <w:sz w:val="24"/>
          <w:szCs w:val="24"/>
        </w:rPr>
        <w:t>(</w:t>
      </w:r>
      <w:r w:rsidR="00036959" w:rsidRPr="00695693">
        <w:rPr>
          <w:rFonts w:ascii="Times New Roman" w:hAnsi="Times New Roman" w:cs="Times New Roman"/>
          <w:b/>
          <w:sz w:val="24"/>
          <w:szCs w:val="24"/>
        </w:rPr>
        <w:t>§ 1</w:t>
      </w:r>
      <w:r w:rsidR="00694424" w:rsidRPr="00D3376B">
        <w:rPr>
          <w:rFonts w:ascii="Times New Roman" w:hAnsi="Times New Roman" w:cs="Times New Roman"/>
          <w:b/>
          <w:sz w:val="24"/>
          <w:szCs w:val="24"/>
        </w:rPr>
        <w:t>)</w:t>
      </w:r>
      <w:r w:rsidR="00694424" w:rsidRPr="00695693">
        <w:rPr>
          <w:rFonts w:ascii="Times New Roman" w:hAnsi="Times New Roman" w:cs="Times New Roman"/>
          <w:sz w:val="24"/>
          <w:szCs w:val="24"/>
        </w:rPr>
        <w:t xml:space="preserve"> et les </w:t>
      </w:r>
      <w:r w:rsidR="004D61FC" w:rsidRPr="00695693">
        <w:rPr>
          <w:rFonts w:ascii="Times New Roman" w:hAnsi="Times New Roman" w:cs="Times New Roman"/>
          <w:sz w:val="24"/>
          <w:szCs w:val="24"/>
        </w:rPr>
        <w:t xml:space="preserve">précarités </w:t>
      </w:r>
      <w:r w:rsidR="00694424" w:rsidRPr="00695693">
        <w:rPr>
          <w:rFonts w:ascii="Times New Roman" w:hAnsi="Times New Roman" w:cs="Times New Roman"/>
          <w:sz w:val="24"/>
          <w:szCs w:val="24"/>
        </w:rPr>
        <w:t xml:space="preserve">judiciaires </w:t>
      </w:r>
      <w:r w:rsidR="00694424" w:rsidRPr="00D3376B">
        <w:rPr>
          <w:rFonts w:ascii="Times New Roman" w:hAnsi="Times New Roman" w:cs="Times New Roman"/>
          <w:b/>
          <w:sz w:val="24"/>
          <w:szCs w:val="24"/>
        </w:rPr>
        <w:t>(</w:t>
      </w:r>
      <w:r w:rsidR="00036959" w:rsidRPr="00D3376B">
        <w:rPr>
          <w:rFonts w:ascii="Times New Roman" w:hAnsi="Times New Roman" w:cs="Times New Roman"/>
          <w:b/>
          <w:sz w:val="24"/>
          <w:szCs w:val="24"/>
        </w:rPr>
        <w:t>§ 2</w:t>
      </w:r>
      <w:r w:rsidR="00694424" w:rsidRPr="00D3376B">
        <w:rPr>
          <w:rFonts w:ascii="Times New Roman" w:hAnsi="Times New Roman" w:cs="Times New Roman"/>
          <w:b/>
          <w:sz w:val="24"/>
          <w:szCs w:val="24"/>
        </w:rPr>
        <w:t>)</w:t>
      </w:r>
      <w:r w:rsidR="00694424" w:rsidRPr="00695693">
        <w:rPr>
          <w:rFonts w:ascii="Times New Roman" w:hAnsi="Times New Roman" w:cs="Times New Roman"/>
          <w:sz w:val="24"/>
          <w:szCs w:val="24"/>
        </w:rPr>
        <w:t>.</w:t>
      </w:r>
    </w:p>
    <w:p w:rsidR="00694424" w:rsidRPr="008159B8" w:rsidRDefault="00036959" w:rsidP="002F7CA3">
      <w:pPr>
        <w:pStyle w:val="Titre4"/>
      </w:pPr>
      <w:bookmarkStart w:id="101" w:name="_Toc518672834"/>
      <w:r w:rsidRPr="008159B8">
        <w:t>§ 1</w:t>
      </w:r>
      <w:r w:rsidR="00694424" w:rsidRPr="008159B8">
        <w:t> : Les précarités juridiques</w:t>
      </w:r>
      <w:bookmarkEnd w:id="101"/>
    </w:p>
    <w:p w:rsidR="00694424" w:rsidRPr="00695693" w:rsidRDefault="008F135C" w:rsidP="006956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Ces </w:t>
      </w:r>
      <w:r w:rsidR="00B55A16">
        <w:rPr>
          <w:rFonts w:ascii="Times New Roman" w:hAnsi="Times New Roman" w:cs="Times New Roman"/>
          <w:sz w:val="24"/>
          <w:szCs w:val="24"/>
        </w:rPr>
        <w:t xml:space="preserve">précarités traduisentla carence du législateur CEDEAO au moment de la consécration du mécanisme </w:t>
      </w:r>
      <w:r w:rsidR="0061518B">
        <w:rPr>
          <w:rFonts w:ascii="Times New Roman" w:hAnsi="Times New Roman" w:cs="Times New Roman"/>
          <w:sz w:val="24"/>
          <w:szCs w:val="24"/>
        </w:rPr>
        <w:t xml:space="preserve">du renvoi </w:t>
      </w:r>
      <w:r w:rsidR="00B55A16">
        <w:rPr>
          <w:rFonts w:ascii="Times New Roman" w:hAnsi="Times New Roman" w:cs="Times New Roman"/>
          <w:sz w:val="24"/>
          <w:szCs w:val="24"/>
        </w:rPr>
        <w:t xml:space="preserve">préjudiciel. </w:t>
      </w:r>
      <w:r w:rsidR="001A4F33" w:rsidRPr="00695693">
        <w:rPr>
          <w:rFonts w:ascii="Times New Roman" w:hAnsi="Times New Roman" w:cs="Times New Roman"/>
          <w:sz w:val="24"/>
          <w:szCs w:val="24"/>
        </w:rPr>
        <w:t>Ce</w:t>
      </w:r>
      <w:r w:rsidR="00B55A16">
        <w:rPr>
          <w:rFonts w:ascii="Times New Roman" w:hAnsi="Times New Roman" w:cs="Times New Roman"/>
          <w:sz w:val="24"/>
          <w:szCs w:val="24"/>
        </w:rPr>
        <w:t xml:space="preserve">tte carence se résume tant en </w:t>
      </w:r>
      <w:r w:rsidR="00694424" w:rsidRPr="00695693">
        <w:rPr>
          <w:rFonts w:ascii="Times New Roman" w:hAnsi="Times New Roman" w:cs="Times New Roman"/>
          <w:sz w:val="24"/>
          <w:szCs w:val="24"/>
        </w:rPr>
        <w:t>l’absence d’auto-saisin</w:t>
      </w:r>
      <w:r w:rsidR="001A5A29" w:rsidRPr="00695693">
        <w:rPr>
          <w:rFonts w:ascii="Times New Roman" w:hAnsi="Times New Roman" w:cs="Times New Roman"/>
          <w:sz w:val="24"/>
          <w:szCs w:val="24"/>
        </w:rPr>
        <w:t>e par la Cour de j</w:t>
      </w:r>
      <w:r w:rsidR="00B55A16">
        <w:rPr>
          <w:rFonts w:ascii="Times New Roman" w:hAnsi="Times New Roman" w:cs="Times New Roman"/>
          <w:sz w:val="24"/>
          <w:szCs w:val="24"/>
        </w:rPr>
        <w:t xml:space="preserve">ustice </w:t>
      </w:r>
      <w:r w:rsidR="00B55A16" w:rsidRPr="00D3376B">
        <w:rPr>
          <w:rFonts w:ascii="Times New Roman" w:hAnsi="Times New Roman" w:cs="Times New Roman"/>
          <w:b/>
          <w:sz w:val="24"/>
          <w:szCs w:val="24"/>
        </w:rPr>
        <w:t>(B)</w:t>
      </w:r>
      <w:r w:rsidR="0061518B">
        <w:rPr>
          <w:rFonts w:ascii="Times New Roman" w:hAnsi="Times New Roman" w:cs="Times New Roman"/>
          <w:sz w:val="24"/>
          <w:szCs w:val="24"/>
        </w:rPr>
        <w:t>,</w:t>
      </w:r>
      <w:r w:rsidR="00B55A16">
        <w:rPr>
          <w:rFonts w:ascii="Times New Roman" w:hAnsi="Times New Roman" w:cs="Times New Roman"/>
          <w:sz w:val="24"/>
          <w:szCs w:val="24"/>
        </w:rPr>
        <w:t xml:space="preserve"> qu’en </w:t>
      </w:r>
      <w:r w:rsidR="00694424" w:rsidRPr="00695693">
        <w:rPr>
          <w:rFonts w:ascii="Times New Roman" w:hAnsi="Times New Roman" w:cs="Times New Roman"/>
          <w:sz w:val="24"/>
          <w:szCs w:val="24"/>
        </w:rPr>
        <w:t xml:space="preserve">l’absence de sanction en matière préjudicielle </w:t>
      </w:r>
      <w:r w:rsidR="00694424" w:rsidRPr="00D3376B">
        <w:rPr>
          <w:rFonts w:ascii="Times New Roman" w:hAnsi="Times New Roman" w:cs="Times New Roman"/>
          <w:b/>
          <w:sz w:val="24"/>
          <w:szCs w:val="24"/>
        </w:rPr>
        <w:t>(A)</w:t>
      </w:r>
      <w:r w:rsidR="00694424" w:rsidRPr="00695693">
        <w:rPr>
          <w:rFonts w:ascii="Times New Roman" w:hAnsi="Times New Roman" w:cs="Times New Roman"/>
          <w:sz w:val="24"/>
          <w:szCs w:val="24"/>
        </w:rPr>
        <w:t>.</w:t>
      </w:r>
    </w:p>
    <w:p w:rsidR="00694424" w:rsidRPr="008159B8" w:rsidRDefault="00694424" w:rsidP="0037430F">
      <w:pPr>
        <w:pStyle w:val="Titre5"/>
      </w:pPr>
      <w:bookmarkStart w:id="102" w:name="_Toc518672835"/>
      <w:r w:rsidRPr="008159B8">
        <w:t>A. L’absence de sanction en matière préjudicielle</w:t>
      </w:r>
      <w:bookmarkEnd w:id="102"/>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L’une des limites à l’effect</w:t>
      </w:r>
      <w:r w:rsidR="00D13C33">
        <w:rPr>
          <w:rFonts w:ascii="Times New Roman" w:hAnsi="Times New Roman" w:cs="Times New Roman"/>
          <w:sz w:val="24"/>
          <w:szCs w:val="24"/>
        </w:rPr>
        <w:t>ivité du recours au mécanisme du</w:t>
      </w:r>
      <w:r w:rsidRPr="00695693">
        <w:rPr>
          <w:rFonts w:ascii="Times New Roman" w:hAnsi="Times New Roman" w:cs="Times New Roman"/>
          <w:sz w:val="24"/>
          <w:szCs w:val="24"/>
        </w:rPr>
        <w:t xml:space="preserve"> renvoi préjudiciel en droit CEDEAO est que le législateur CEDEAO n’a pas prévu des sanctions spécifiques en cas de violation des règles dudit renvoi . Cette absence des sanctions particulières pourrait être l’une des raisons </w:t>
      </w:r>
      <w:r w:rsidR="006F323A" w:rsidRPr="00695693">
        <w:rPr>
          <w:rFonts w:ascii="Times New Roman" w:hAnsi="Times New Roman" w:cs="Times New Roman"/>
          <w:sz w:val="24"/>
          <w:szCs w:val="24"/>
        </w:rPr>
        <w:t xml:space="preserve">faisant en sorte </w:t>
      </w:r>
      <w:r w:rsidRPr="00695693">
        <w:rPr>
          <w:rFonts w:ascii="Times New Roman" w:hAnsi="Times New Roman" w:cs="Times New Roman"/>
          <w:sz w:val="24"/>
          <w:szCs w:val="24"/>
        </w:rPr>
        <w:t>que les juridictions nationales des Etats membres ne recourent pas à cette voie de droit. Tout</w:t>
      </w:r>
      <w:r w:rsidR="00FD6C35" w:rsidRPr="00695693">
        <w:rPr>
          <w:rFonts w:ascii="Times New Roman" w:hAnsi="Times New Roman" w:cs="Times New Roman"/>
          <w:sz w:val="24"/>
          <w:szCs w:val="24"/>
        </w:rPr>
        <w:t>efois, on pourrait aussi penser,</w:t>
      </w:r>
      <w:r w:rsidRPr="00695693">
        <w:rPr>
          <w:rFonts w:ascii="Times New Roman" w:hAnsi="Times New Roman" w:cs="Times New Roman"/>
          <w:sz w:val="24"/>
          <w:szCs w:val="24"/>
        </w:rPr>
        <w:t xml:space="preserve"> comme l’a fait</w:t>
      </w:r>
      <w:r w:rsidR="00FD6C35" w:rsidRPr="00695693">
        <w:rPr>
          <w:rFonts w:ascii="Times New Roman" w:hAnsi="Times New Roman" w:cs="Times New Roman"/>
          <w:sz w:val="24"/>
          <w:szCs w:val="24"/>
        </w:rPr>
        <w:t xml:space="preserve"> fort heureusement</w:t>
      </w:r>
      <w:r w:rsidRPr="00695693">
        <w:rPr>
          <w:rFonts w:ascii="Times New Roman" w:hAnsi="Times New Roman" w:cs="Times New Roman"/>
          <w:sz w:val="24"/>
          <w:szCs w:val="24"/>
        </w:rPr>
        <w:t xml:space="preserve"> remarquer le Professeur Alioune SALL, que « </w:t>
      </w:r>
      <w:r w:rsidRPr="00695693">
        <w:rPr>
          <w:rFonts w:ascii="Times New Roman" w:hAnsi="Times New Roman" w:cs="Times New Roman"/>
          <w:i/>
          <w:sz w:val="24"/>
          <w:szCs w:val="24"/>
        </w:rPr>
        <w:t>… les juridictions nationales ne sont pas nécessairement rompues à cette technique du renvoi préjudiciel, l’indigence du contentieux y donnant lieu ne les disposant pas, déjà, à se familiariser aux arcanes d’une procédure plus subtile qu’il n’y parait</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347"/>
      </w:r>
      <w:r w:rsidRPr="00695693">
        <w:rPr>
          <w:rFonts w:ascii="Times New Roman" w:hAnsi="Times New Roman" w:cs="Times New Roman"/>
          <w:sz w:val="24"/>
          <w:szCs w:val="24"/>
        </w:rPr>
        <w:t>.</w:t>
      </w:r>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Cependant, étant donné que les Etats membres de la communauté sont tenus de respecter les obligations qui leur incombent en vertu du Traité fondateur, des actes assimilés à ce dernier et </w:t>
      </w:r>
      <w:r w:rsidRPr="00695693">
        <w:rPr>
          <w:rFonts w:ascii="Times New Roman" w:hAnsi="Times New Roman" w:cs="Times New Roman"/>
          <w:sz w:val="24"/>
          <w:szCs w:val="24"/>
        </w:rPr>
        <w:lastRenderedPageBreak/>
        <w:t xml:space="preserve">de tous les actes pris par les </w:t>
      </w:r>
      <w:r w:rsidR="00D13C33">
        <w:rPr>
          <w:rFonts w:ascii="Times New Roman" w:hAnsi="Times New Roman" w:cs="Times New Roman"/>
          <w:sz w:val="24"/>
          <w:szCs w:val="24"/>
        </w:rPr>
        <w:t xml:space="preserve">organes </w:t>
      </w:r>
      <w:r w:rsidRPr="00695693">
        <w:rPr>
          <w:rFonts w:ascii="Times New Roman" w:hAnsi="Times New Roman" w:cs="Times New Roman"/>
          <w:sz w:val="24"/>
          <w:szCs w:val="24"/>
        </w:rPr>
        <w:t>communautaires, on pourrait penser que, même si le Traité et le protocole additionnel n’ont prévu aucune sanction particulière en matière préjudicielle, un recours en manquement pourrait être exercé à l’encontre de l’Etat dont « </w:t>
      </w:r>
      <w:r w:rsidRPr="00695693">
        <w:rPr>
          <w:rFonts w:ascii="Times New Roman" w:hAnsi="Times New Roman" w:cs="Times New Roman"/>
          <w:i/>
          <w:sz w:val="24"/>
          <w:szCs w:val="24"/>
        </w:rPr>
        <w:t>le juge s’est abstenu ou de saisir la Cour de Justice pour décision préjudicielle alors qu’il y étaitobligé, ou de suivre l’interprétation fournie par la Cour de Justice à la suite de sa demande de décision préjudicielle</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348"/>
      </w:r>
      <w:r w:rsidRPr="00695693">
        <w:rPr>
          <w:rFonts w:ascii="Times New Roman" w:hAnsi="Times New Roman" w:cs="Times New Roman"/>
          <w:sz w:val="24"/>
          <w:szCs w:val="24"/>
        </w:rPr>
        <w:t>.</w:t>
      </w:r>
    </w:p>
    <w:p w:rsidR="00953991"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Cette sanction s’apparente à l’enga</w:t>
      </w:r>
      <w:r w:rsidR="00611AC2" w:rsidRPr="00695693">
        <w:rPr>
          <w:rFonts w:ascii="Times New Roman" w:hAnsi="Times New Roman" w:cs="Times New Roman"/>
          <w:sz w:val="24"/>
          <w:szCs w:val="24"/>
        </w:rPr>
        <w:t xml:space="preserve">gement de la responsabilité </w:t>
      </w:r>
      <w:r w:rsidR="001C4DE2" w:rsidRPr="00695693">
        <w:rPr>
          <w:rFonts w:ascii="Times New Roman" w:hAnsi="Times New Roman" w:cs="Times New Roman"/>
          <w:sz w:val="24"/>
          <w:szCs w:val="24"/>
        </w:rPr>
        <w:t xml:space="preserve">pour faute </w:t>
      </w:r>
      <w:r w:rsidRPr="00695693">
        <w:rPr>
          <w:rFonts w:ascii="Times New Roman" w:hAnsi="Times New Roman" w:cs="Times New Roman"/>
          <w:sz w:val="24"/>
          <w:szCs w:val="24"/>
        </w:rPr>
        <w:t xml:space="preserve">de l’Etat, telle </w:t>
      </w:r>
      <w:r w:rsidR="007478CC" w:rsidRPr="00695693">
        <w:rPr>
          <w:rFonts w:ascii="Times New Roman" w:hAnsi="Times New Roman" w:cs="Times New Roman"/>
          <w:sz w:val="24"/>
          <w:szCs w:val="24"/>
        </w:rPr>
        <w:t xml:space="preserve">que </w:t>
      </w:r>
      <w:r w:rsidRPr="00695693">
        <w:rPr>
          <w:rFonts w:ascii="Times New Roman" w:hAnsi="Times New Roman" w:cs="Times New Roman"/>
          <w:sz w:val="24"/>
          <w:szCs w:val="24"/>
        </w:rPr>
        <w:t>connue en droit international public</w:t>
      </w:r>
      <w:r w:rsidRPr="00695693">
        <w:rPr>
          <w:rStyle w:val="Appelnotedebasdep"/>
          <w:rFonts w:ascii="Times New Roman" w:hAnsi="Times New Roman" w:cs="Times New Roman"/>
          <w:sz w:val="24"/>
          <w:szCs w:val="24"/>
        </w:rPr>
        <w:footnoteReference w:id="349"/>
      </w:r>
      <w:r w:rsidRPr="00695693">
        <w:rPr>
          <w:rFonts w:ascii="Times New Roman" w:hAnsi="Times New Roman" w:cs="Times New Roman"/>
          <w:sz w:val="24"/>
          <w:szCs w:val="24"/>
        </w:rPr>
        <w:t xml:space="preserve">, </w:t>
      </w:r>
      <w:r w:rsidR="00611AC2" w:rsidRPr="00695693">
        <w:rPr>
          <w:rFonts w:ascii="Times New Roman" w:hAnsi="Times New Roman" w:cs="Times New Roman"/>
          <w:sz w:val="24"/>
          <w:szCs w:val="24"/>
        </w:rPr>
        <w:t xml:space="preserve">en raison </w:t>
      </w:r>
      <w:r w:rsidR="00FE26BE" w:rsidRPr="00695693">
        <w:rPr>
          <w:rFonts w:ascii="Times New Roman" w:hAnsi="Times New Roman" w:cs="Times New Roman"/>
          <w:sz w:val="24"/>
          <w:szCs w:val="24"/>
        </w:rPr>
        <w:t>de l’inaction de la juridiction nationale</w:t>
      </w:r>
      <w:r w:rsidR="00CF13DA" w:rsidRPr="00695693">
        <w:rPr>
          <w:rStyle w:val="Appelnotedebasdep"/>
          <w:rFonts w:ascii="Times New Roman" w:hAnsi="Times New Roman" w:cs="Times New Roman"/>
          <w:sz w:val="24"/>
          <w:szCs w:val="24"/>
        </w:rPr>
        <w:footnoteReference w:id="350"/>
      </w:r>
      <w:r w:rsidRPr="00695693">
        <w:rPr>
          <w:rFonts w:ascii="Times New Roman" w:hAnsi="Times New Roman" w:cs="Times New Roman"/>
          <w:sz w:val="24"/>
          <w:szCs w:val="24"/>
        </w:rPr>
        <w:t>. Cette responsabilité, comme il a été dit, traduira alors le recours en manquement exercé à l’encontre de l’Etat dont la juridiction nationale a refusé soit de saisir la Cour pour décision préjudicielle ; soit de prendre en considération l’interprétation fournie par la Cour pour le règlement du litige national.</w:t>
      </w:r>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En droit CEDEAO, ce recours est prévu tant à l’art. 7,</w:t>
      </w:r>
      <w:r w:rsidR="0052686E" w:rsidRPr="00695693">
        <w:rPr>
          <w:rFonts w:ascii="Times New Roman" w:hAnsi="Times New Roman" w:cs="Times New Roman"/>
          <w:sz w:val="24"/>
          <w:szCs w:val="24"/>
        </w:rPr>
        <w:t> §</w:t>
      </w:r>
      <w:r w:rsidR="001A5A29" w:rsidRPr="00695693">
        <w:rPr>
          <w:rFonts w:ascii="Times New Roman" w:hAnsi="Times New Roman" w:cs="Times New Roman"/>
          <w:sz w:val="24"/>
          <w:szCs w:val="24"/>
        </w:rPr>
        <w:t xml:space="preserve"> 3, g du Traité révisé du 24 j</w:t>
      </w:r>
      <w:r w:rsidR="0052686E" w:rsidRPr="00695693">
        <w:rPr>
          <w:rFonts w:ascii="Times New Roman" w:hAnsi="Times New Roman" w:cs="Times New Roman"/>
          <w:sz w:val="24"/>
          <w:szCs w:val="24"/>
        </w:rPr>
        <w:t>uillet 1993 qu’à l’art. 9, §</w:t>
      </w:r>
      <w:r w:rsidRPr="00695693">
        <w:rPr>
          <w:rFonts w:ascii="Times New Roman" w:hAnsi="Times New Roman" w:cs="Times New Roman"/>
          <w:sz w:val="24"/>
          <w:szCs w:val="24"/>
        </w:rPr>
        <w:t xml:space="preserve"> 1, d du Protocole d’Accra de 2005</w:t>
      </w:r>
      <w:r w:rsidRPr="00695693">
        <w:rPr>
          <w:rStyle w:val="Appelnotedebasdep"/>
          <w:rFonts w:ascii="Times New Roman" w:hAnsi="Times New Roman" w:cs="Times New Roman"/>
          <w:sz w:val="24"/>
          <w:szCs w:val="24"/>
        </w:rPr>
        <w:footnoteReference w:id="351"/>
      </w:r>
      <w:r w:rsidRPr="00695693">
        <w:rPr>
          <w:rFonts w:ascii="Times New Roman" w:hAnsi="Times New Roman" w:cs="Times New Roman"/>
          <w:sz w:val="24"/>
          <w:szCs w:val="24"/>
        </w:rPr>
        <w:t xml:space="preserve"> avec un recours ouvert au profit de tout </w:t>
      </w:r>
      <w:r w:rsidR="002E2B19">
        <w:rPr>
          <w:rFonts w:ascii="Times New Roman" w:hAnsi="Times New Roman" w:cs="Times New Roman"/>
          <w:sz w:val="24"/>
          <w:szCs w:val="24"/>
        </w:rPr>
        <w:t xml:space="preserve">Etat membre et de la commission </w:t>
      </w:r>
      <w:r w:rsidRPr="00695693">
        <w:rPr>
          <w:rFonts w:ascii="Times New Roman" w:hAnsi="Times New Roman" w:cs="Times New Roman"/>
          <w:sz w:val="24"/>
          <w:szCs w:val="24"/>
        </w:rPr>
        <w:t>lorsqu’un Etat n’a pas honoré</w:t>
      </w:r>
      <w:r w:rsidR="005C7E4B" w:rsidRPr="00695693">
        <w:rPr>
          <w:rFonts w:ascii="Times New Roman" w:hAnsi="Times New Roman" w:cs="Times New Roman"/>
          <w:sz w:val="24"/>
          <w:szCs w:val="24"/>
        </w:rPr>
        <w:t xml:space="preserve"> à</w:t>
      </w:r>
      <w:r w:rsidRPr="00695693">
        <w:rPr>
          <w:rFonts w:ascii="Times New Roman" w:hAnsi="Times New Roman" w:cs="Times New Roman"/>
          <w:sz w:val="24"/>
          <w:szCs w:val="24"/>
        </w:rPr>
        <w:t xml:space="preserve"> ses engagements</w:t>
      </w:r>
      <w:r w:rsidR="00305752">
        <w:rPr>
          <w:rStyle w:val="Appelnotedebasdep"/>
          <w:rFonts w:ascii="Times New Roman" w:hAnsi="Times New Roman" w:cs="Times New Roman"/>
          <w:sz w:val="24"/>
          <w:szCs w:val="24"/>
        </w:rPr>
        <w:footnoteReference w:id="352"/>
      </w:r>
      <w:r w:rsidRPr="00695693">
        <w:rPr>
          <w:rFonts w:ascii="Times New Roman" w:hAnsi="Times New Roman" w:cs="Times New Roman"/>
          <w:sz w:val="24"/>
          <w:szCs w:val="24"/>
        </w:rPr>
        <w:t xml:space="preserve">, quand une institution de la communauté a agi hors des limites de sa compétence ; ou a excédé les pouvoirs à elle confiés par le Traité ou par tout autre texte pertinent de la communauté. </w:t>
      </w:r>
    </w:p>
    <w:p w:rsidR="001334BB"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Dans l</w:t>
      </w:r>
      <w:r w:rsidR="00B3699C" w:rsidRPr="00695693">
        <w:rPr>
          <w:rFonts w:ascii="Times New Roman" w:hAnsi="Times New Roman" w:cs="Times New Roman"/>
          <w:sz w:val="24"/>
          <w:szCs w:val="24"/>
        </w:rPr>
        <w:t>e cadre de l’UEMOA, la Cour de j</w:t>
      </w:r>
      <w:r w:rsidRPr="00695693">
        <w:rPr>
          <w:rFonts w:ascii="Times New Roman" w:hAnsi="Times New Roman" w:cs="Times New Roman"/>
          <w:sz w:val="24"/>
          <w:szCs w:val="24"/>
        </w:rPr>
        <w:t>ustice connait des manquements des Etats aux obligations leur incombant. Les articles 5 et 6 du Protocole additionnel n°1 sur les organes de contrôle de l’UEMOA sont assez édifiants sur ce point</w:t>
      </w:r>
      <w:r w:rsidRPr="00695693">
        <w:rPr>
          <w:rStyle w:val="Appelnotedebasdep"/>
          <w:rFonts w:ascii="Times New Roman" w:hAnsi="Times New Roman" w:cs="Times New Roman"/>
          <w:sz w:val="24"/>
          <w:szCs w:val="24"/>
        </w:rPr>
        <w:footnoteReference w:id="353"/>
      </w:r>
      <w:r w:rsidRPr="00695693">
        <w:rPr>
          <w:rFonts w:ascii="Times New Roman" w:hAnsi="Times New Roman" w:cs="Times New Roman"/>
          <w:sz w:val="24"/>
          <w:szCs w:val="24"/>
        </w:rPr>
        <w:t xml:space="preserve">. Toutefois, contrairement au </w:t>
      </w:r>
      <w:r w:rsidRPr="00695693">
        <w:rPr>
          <w:rFonts w:ascii="Times New Roman" w:hAnsi="Times New Roman" w:cs="Times New Roman"/>
          <w:sz w:val="24"/>
          <w:szCs w:val="24"/>
        </w:rPr>
        <w:lastRenderedPageBreak/>
        <w:t>législateur CEDEAO, celui de l’UEMOA a expressément prévu le recours en manquement en cas d’inobservation des interpréta</w:t>
      </w:r>
      <w:r w:rsidR="00B3699C" w:rsidRPr="00695693">
        <w:rPr>
          <w:rFonts w:ascii="Times New Roman" w:hAnsi="Times New Roman" w:cs="Times New Roman"/>
          <w:sz w:val="24"/>
          <w:szCs w:val="24"/>
        </w:rPr>
        <w:t>tions formulées par la Cour de j</w:t>
      </w:r>
      <w:r w:rsidRPr="00695693">
        <w:rPr>
          <w:rFonts w:ascii="Times New Roman" w:hAnsi="Times New Roman" w:cs="Times New Roman"/>
          <w:sz w:val="24"/>
          <w:szCs w:val="24"/>
        </w:rPr>
        <w:t xml:space="preserve">ustice à la suite d’un recours préjudiciel. Ainsi, </w:t>
      </w:r>
      <w:r w:rsidR="002E2B19">
        <w:rPr>
          <w:rFonts w:ascii="Times New Roman" w:hAnsi="Times New Roman" w:cs="Times New Roman"/>
          <w:sz w:val="24"/>
          <w:szCs w:val="24"/>
        </w:rPr>
        <w:t xml:space="preserve">d’après les dispositions de </w:t>
      </w:r>
      <w:r w:rsidRPr="00695693">
        <w:rPr>
          <w:rFonts w:ascii="Times New Roman" w:hAnsi="Times New Roman" w:cs="Times New Roman"/>
          <w:sz w:val="24"/>
          <w:szCs w:val="24"/>
        </w:rPr>
        <w:t>l’art. 13 du Protocole précité</w:t>
      </w:r>
      <w:r w:rsidR="002E2B19">
        <w:rPr>
          <w:rFonts w:ascii="Times New Roman" w:hAnsi="Times New Roman" w:cs="Times New Roman"/>
          <w:sz w:val="24"/>
          <w:szCs w:val="24"/>
        </w:rPr>
        <w:t xml:space="preserve">, </w:t>
      </w:r>
      <w:r w:rsidRPr="00695693">
        <w:rPr>
          <w:rFonts w:ascii="Times New Roman" w:hAnsi="Times New Roman" w:cs="Times New Roman"/>
          <w:sz w:val="24"/>
          <w:szCs w:val="24"/>
        </w:rPr>
        <w:t>« </w:t>
      </w:r>
      <w:r w:rsidRPr="00695693">
        <w:rPr>
          <w:rFonts w:ascii="Times New Roman" w:hAnsi="Times New Roman" w:cs="Times New Roman"/>
          <w:i/>
          <w:sz w:val="24"/>
          <w:szCs w:val="24"/>
        </w:rPr>
        <w:t>les interprétations formulées par la Cour de Justice dans le cadre de la proc</w:t>
      </w:r>
      <w:r w:rsidR="00627353" w:rsidRPr="00695693">
        <w:rPr>
          <w:rFonts w:ascii="Times New Roman" w:hAnsi="Times New Roman" w:cs="Times New Roman"/>
          <w:i/>
          <w:sz w:val="24"/>
          <w:szCs w:val="24"/>
        </w:rPr>
        <w:t>édure de recours préjudictionnel</w:t>
      </w:r>
      <w:r w:rsidRPr="00695693">
        <w:rPr>
          <w:rFonts w:ascii="Times New Roman" w:hAnsi="Times New Roman" w:cs="Times New Roman"/>
          <w:i/>
          <w:sz w:val="24"/>
          <w:szCs w:val="24"/>
        </w:rPr>
        <w:t xml:space="preserve"> s’imposent à toutes les autorités administratives et juridictionnelles dansl’ensemble des Etats membres. L’inobservation de ces interprétations peut donner lieu à un recours en manquement</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354"/>
      </w:r>
      <w:r w:rsidRPr="00695693">
        <w:rPr>
          <w:rFonts w:ascii="Times New Roman" w:hAnsi="Times New Roman" w:cs="Times New Roman"/>
          <w:sz w:val="24"/>
          <w:szCs w:val="24"/>
        </w:rPr>
        <w:t>. Cependant, la lecture de cette disposition peut laisser croire que la sanction ne vaut qu’</w:t>
      </w:r>
      <w:r w:rsidRPr="00695693">
        <w:rPr>
          <w:rFonts w:ascii="Times New Roman" w:hAnsi="Times New Roman" w:cs="Times New Roman"/>
          <w:i/>
          <w:sz w:val="24"/>
          <w:szCs w:val="24"/>
        </w:rPr>
        <w:t xml:space="preserve">aposteriori </w:t>
      </w:r>
      <w:r w:rsidRPr="00695693">
        <w:rPr>
          <w:rFonts w:ascii="Times New Roman" w:hAnsi="Times New Roman" w:cs="Times New Roman"/>
          <w:sz w:val="24"/>
          <w:szCs w:val="24"/>
        </w:rPr>
        <w:t>c’est-à-dire après que la Cour ait déjà statué sur la question nationale. Dans le</w:t>
      </w:r>
      <w:r w:rsidR="0052686E" w:rsidRPr="00695693">
        <w:rPr>
          <w:rFonts w:ascii="Times New Roman" w:hAnsi="Times New Roman" w:cs="Times New Roman"/>
          <w:sz w:val="24"/>
          <w:szCs w:val="24"/>
        </w:rPr>
        <w:t xml:space="preserve"> même ordre d’idée, l’art. 24, §</w:t>
      </w:r>
      <w:r w:rsidRPr="00695693">
        <w:rPr>
          <w:rFonts w:ascii="Times New Roman" w:hAnsi="Times New Roman" w:cs="Times New Roman"/>
          <w:sz w:val="24"/>
          <w:szCs w:val="24"/>
        </w:rPr>
        <w:t xml:space="preserve"> 1 du Traité du COMESA dispose que : « </w:t>
      </w:r>
      <w:r w:rsidRPr="00695693">
        <w:rPr>
          <w:rFonts w:ascii="Times New Roman" w:hAnsi="Times New Roman" w:cs="Times New Roman"/>
          <w:i/>
          <w:sz w:val="24"/>
          <w:szCs w:val="24"/>
        </w:rPr>
        <w:t>Tout Etat membre qui estime qu’un autre Etat membre ou le Conseil a manqué à une obligation prévue par le présent Traité, ou violé une disposition de ce dernier, peut saisir la Cour de Justice de cette affaire</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355"/>
      </w:r>
      <w:r w:rsidRPr="00695693">
        <w:rPr>
          <w:rFonts w:ascii="Times New Roman" w:hAnsi="Times New Roman" w:cs="Times New Roman"/>
          <w:sz w:val="24"/>
          <w:szCs w:val="24"/>
        </w:rPr>
        <w:t>.</w:t>
      </w:r>
      <w:r w:rsidR="0010695E" w:rsidRPr="00695693">
        <w:rPr>
          <w:rFonts w:ascii="Times New Roman" w:hAnsi="Times New Roman" w:cs="Times New Roman"/>
          <w:sz w:val="24"/>
          <w:szCs w:val="24"/>
        </w:rPr>
        <w:t xml:space="preserve"> Néanmoins</w:t>
      </w:r>
      <w:r w:rsidRPr="00695693">
        <w:rPr>
          <w:rFonts w:ascii="Times New Roman" w:hAnsi="Times New Roman" w:cs="Times New Roman"/>
          <w:sz w:val="24"/>
          <w:szCs w:val="24"/>
        </w:rPr>
        <w:t xml:space="preserve">, l’effectivité d’un tel recours est réduite </w:t>
      </w:r>
      <w:r w:rsidR="001334BB" w:rsidRPr="00695693">
        <w:rPr>
          <w:rFonts w:ascii="Times New Roman" w:hAnsi="Times New Roman" w:cs="Times New Roman"/>
          <w:sz w:val="24"/>
          <w:szCs w:val="24"/>
        </w:rPr>
        <w:t xml:space="preserve">compte tenu de l’absence d’auto-saisine par la Cour de justice. </w:t>
      </w:r>
    </w:p>
    <w:p w:rsidR="00694424" w:rsidRPr="008159B8" w:rsidRDefault="00694424" w:rsidP="0037430F">
      <w:pPr>
        <w:pStyle w:val="Titre5"/>
      </w:pPr>
      <w:bookmarkStart w:id="103" w:name="_Toc518672836"/>
      <w:r w:rsidRPr="008159B8">
        <w:t>B. L’absence d’aut</w:t>
      </w:r>
      <w:r w:rsidR="001334BB" w:rsidRPr="008159B8">
        <w:t>o-saisine par la Cour de j</w:t>
      </w:r>
      <w:r w:rsidRPr="008159B8">
        <w:t>ustice</w:t>
      </w:r>
      <w:bookmarkEnd w:id="103"/>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A la différence de la saisine</w:t>
      </w:r>
      <w:r w:rsidRPr="00695693">
        <w:rPr>
          <w:rStyle w:val="Appelnotedebasdep"/>
          <w:rFonts w:ascii="Times New Roman" w:hAnsi="Times New Roman" w:cs="Times New Roman"/>
          <w:sz w:val="24"/>
          <w:szCs w:val="24"/>
        </w:rPr>
        <w:footnoteReference w:id="356"/>
      </w:r>
      <w:r w:rsidRPr="00695693">
        <w:rPr>
          <w:rFonts w:ascii="Times New Roman" w:hAnsi="Times New Roman" w:cs="Times New Roman"/>
          <w:sz w:val="24"/>
          <w:szCs w:val="24"/>
        </w:rPr>
        <w:t xml:space="preserve">, l’auto-saisine de la Cour peut simplement s’entendre comme la situation où la Cour décide de se saisir elle-même pour connaitre une affaire donnée. En règle générale, il </w:t>
      </w:r>
      <w:r w:rsidR="007A7493" w:rsidRPr="00695693">
        <w:rPr>
          <w:rFonts w:ascii="Times New Roman" w:hAnsi="Times New Roman" w:cs="Times New Roman"/>
          <w:sz w:val="24"/>
          <w:szCs w:val="24"/>
        </w:rPr>
        <w:t>est de coutume  que la Cour de j</w:t>
      </w:r>
      <w:r w:rsidRPr="00695693">
        <w:rPr>
          <w:rFonts w:ascii="Times New Roman" w:hAnsi="Times New Roman" w:cs="Times New Roman"/>
          <w:sz w:val="24"/>
          <w:szCs w:val="24"/>
        </w:rPr>
        <w:t xml:space="preserve">ustice ne peut s’autosaisir. La raison de cette absence d’auto-saisine par la Cour est à rechercher dans </w:t>
      </w:r>
      <w:r w:rsidR="001334BB" w:rsidRPr="00695693">
        <w:rPr>
          <w:rFonts w:ascii="Times New Roman" w:hAnsi="Times New Roman" w:cs="Times New Roman"/>
          <w:sz w:val="24"/>
          <w:szCs w:val="24"/>
        </w:rPr>
        <w:t xml:space="preserve">son extranéité par rapport </w:t>
      </w:r>
      <w:r w:rsidRPr="00695693">
        <w:rPr>
          <w:rFonts w:ascii="Times New Roman" w:hAnsi="Times New Roman" w:cs="Times New Roman"/>
          <w:sz w:val="24"/>
          <w:szCs w:val="24"/>
        </w:rPr>
        <w:t>aux faits à l’origine du litige national. Elle ne peut donc être saisie que par les organes habilités par les textes communautaires. En matière préjudicielle, le législateur CEDEAO a explicitement conféré l’ha</w:t>
      </w:r>
      <w:r w:rsidR="007A7493" w:rsidRPr="00695693">
        <w:rPr>
          <w:rFonts w:ascii="Times New Roman" w:hAnsi="Times New Roman" w:cs="Times New Roman"/>
          <w:sz w:val="24"/>
          <w:szCs w:val="24"/>
        </w:rPr>
        <w:t>bilitation à saisir la Cour de j</w:t>
      </w:r>
      <w:r w:rsidRPr="00695693">
        <w:rPr>
          <w:rFonts w:ascii="Times New Roman" w:hAnsi="Times New Roman" w:cs="Times New Roman"/>
          <w:sz w:val="24"/>
          <w:szCs w:val="24"/>
        </w:rPr>
        <w:t xml:space="preserve">ustice de la communauté aux instances nationales des Etats membres et aux parties en litige. Cette affirmation ressort clairement de l’analyse de l’art. 10, f du Protocole d’Accra de 2005. Toutefois, dans la pratique, les parties en litige au principal ne sont pas </w:t>
      </w:r>
      <w:r w:rsidR="007A7493" w:rsidRPr="00695693">
        <w:rPr>
          <w:rFonts w:ascii="Times New Roman" w:hAnsi="Times New Roman" w:cs="Times New Roman"/>
          <w:sz w:val="24"/>
          <w:szCs w:val="24"/>
        </w:rPr>
        <w:t>admises à déférer à la Cour de j</w:t>
      </w:r>
      <w:r w:rsidRPr="00695693">
        <w:rPr>
          <w:rFonts w:ascii="Times New Roman" w:hAnsi="Times New Roman" w:cs="Times New Roman"/>
          <w:sz w:val="24"/>
          <w:szCs w:val="24"/>
        </w:rPr>
        <w:t xml:space="preserve">ustice une question de nature préjudicielle, compte tenu même de la nature particulière du recours. Il s’agit d’une procédure </w:t>
      </w:r>
      <w:r w:rsidRPr="00695693">
        <w:rPr>
          <w:rFonts w:ascii="Times New Roman" w:hAnsi="Times New Roman" w:cs="Times New Roman"/>
          <w:sz w:val="24"/>
          <w:szCs w:val="24"/>
        </w:rPr>
        <w:lastRenderedPageBreak/>
        <w:t>non contentieuse qui suppose une coopération directe c’est-à-dire de « </w:t>
      </w:r>
      <w:r w:rsidRPr="00695693">
        <w:rPr>
          <w:rFonts w:ascii="Times New Roman" w:hAnsi="Times New Roman" w:cs="Times New Roman"/>
          <w:i/>
          <w:sz w:val="24"/>
          <w:szCs w:val="24"/>
        </w:rPr>
        <w:t>juge à juge</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357"/>
      </w:r>
      <w:r w:rsidRPr="00695693">
        <w:rPr>
          <w:rFonts w:ascii="Times New Roman" w:hAnsi="Times New Roman" w:cs="Times New Roman"/>
          <w:sz w:val="24"/>
          <w:szCs w:val="24"/>
        </w:rPr>
        <w:t xml:space="preserve"> et non</w:t>
      </w:r>
      <w:r w:rsidR="007A7493" w:rsidRPr="00695693">
        <w:rPr>
          <w:rFonts w:ascii="Times New Roman" w:hAnsi="Times New Roman" w:cs="Times New Roman"/>
          <w:sz w:val="24"/>
          <w:szCs w:val="24"/>
        </w:rPr>
        <w:t xml:space="preserve"> hiérarchisée entre la Cour de j</w:t>
      </w:r>
      <w:r w:rsidRPr="00695693">
        <w:rPr>
          <w:rFonts w:ascii="Times New Roman" w:hAnsi="Times New Roman" w:cs="Times New Roman"/>
          <w:sz w:val="24"/>
          <w:szCs w:val="24"/>
        </w:rPr>
        <w:t>ustice et les instances nationales des Etats membres, écartant d’office « </w:t>
      </w:r>
      <w:r w:rsidRPr="00695693">
        <w:rPr>
          <w:rFonts w:ascii="Times New Roman" w:hAnsi="Times New Roman" w:cs="Times New Roman"/>
          <w:i/>
          <w:sz w:val="24"/>
          <w:szCs w:val="24"/>
        </w:rPr>
        <w:t>toute possibilité pour les parties au procès d’interroger directement le juge communautaire</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358"/>
      </w:r>
      <w:r w:rsidRPr="00695693">
        <w:rPr>
          <w:rFonts w:ascii="Times New Roman" w:hAnsi="Times New Roman" w:cs="Times New Roman"/>
          <w:sz w:val="24"/>
          <w:szCs w:val="24"/>
        </w:rPr>
        <w:t>. Cette absence d’auto-saisine par la Cour n’est pas sans incidence dans</w:t>
      </w:r>
      <w:r w:rsidR="003E281B" w:rsidRPr="00695693">
        <w:rPr>
          <w:rFonts w:ascii="Times New Roman" w:hAnsi="Times New Roman" w:cs="Times New Roman"/>
          <w:sz w:val="24"/>
          <w:szCs w:val="24"/>
        </w:rPr>
        <w:t xml:space="preserve"> le cadre du renvoi préjudiciel, parce que </w:t>
      </w:r>
      <w:r w:rsidRPr="00695693">
        <w:rPr>
          <w:rFonts w:ascii="Times New Roman" w:hAnsi="Times New Roman" w:cs="Times New Roman"/>
          <w:sz w:val="24"/>
          <w:szCs w:val="24"/>
        </w:rPr>
        <w:t xml:space="preserve">les juges nationaux peuvent souverainement refuser de saisir la Cour, malgré les demandes des parties en litige au principal. C’est ainsi qu’il serait souhaitable, </w:t>
      </w:r>
      <w:r w:rsidR="003E281B" w:rsidRPr="00695693">
        <w:rPr>
          <w:rFonts w:ascii="Times New Roman" w:hAnsi="Times New Roman" w:cs="Times New Roman"/>
          <w:sz w:val="24"/>
          <w:szCs w:val="24"/>
        </w:rPr>
        <w:t>comme il a été dit précédemment</w:t>
      </w:r>
      <w:r w:rsidRPr="00695693">
        <w:rPr>
          <w:rFonts w:ascii="Times New Roman" w:hAnsi="Times New Roman" w:cs="Times New Roman"/>
          <w:sz w:val="24"/>
          <w:szCs w:val="24"/>
        </w:rPr>
        <w:t>, pour le législateur CEDEAO de relati</w:t>
      </w:r>
      <w:r w:rsidR="0010695E" w:rsidRPr="00695693">
        <w:rPr>
          <w:rFonts w:ascii="Times New Roman" w:hAnsi="Times New Roman" w:cs="Times New Roman"/>
          <w:sz w:val="24"/>
          <w:szCs w:val="24"/>
        </w:rPr>
        <w:t>viser le recours au mécanisme de</w:t>
      </w:r>
      <w:r w:rsidRPr="00695693">
        <w:rPr>
          <w:rFonts w:ascii="Times New Roman" w:hAnsi="Times New Roman" w:cs="Times New Roman"/>
          <w:sz w:val="24"/>
          <w:szCs w:val="24"/>
        </w:rPr>
        <w:t xml:space="preserve"> renvoi préjudiciel, notamment en le rendant facultatif pour les juges inferieurs et obligatoires pour les juges supérieurs. De surcroit, parce que la Cour devrait avoir connaissance de certains éléments pour une meilleure prise en charge des préoccupations du juge national, il aurait été indiqué de lui permettre au </w:t>
      </w:r>
      <w:r w:rsidR="005A4D55" w:rsidRPr="00695693">
        <w:rPr>
          <w:rFonts w:ascii="Times New Roman" w:hAnsi="Times New Roman" w:cs="Times New Roman"/>
          <w:sz w:val="24"/>
          <w:szCs w:val="24"/>
        </w:rPr>
        <w:t xml:space="preserve">moins sur ce point de se saisir, </w:t>
      </w:r>
      <w:r w:rsidRPr="00695693">
        <w:rPr>
          <w:rFonts w:ascii="Times New Roman" w:hAnsi="Times New Roman" w:cs="Times New Roman"/>
          <w:sz w:val="24"/>
          <w:szCs w:val="24"/>
        </w:rPr>
        <w:t xml:space="preserve">car </w:t>
      </w:r>
      <w:r w:rsidR="003E281B" w:rsidRPr="00695693">
        <w:rPr>
          <w:rFonts w:ascii="Times New Roman" w:hAnsi="Times New Roman" w:cs="Times New Roman"/>
          <w:sz w:val="24"/>
          <w:szCs w:val="24"/>
        </w:rPr>
        <w:t xml:space="preserve">en </w:t>
      </w:r>
      <w:r w:rsidRPr="00695693">
        <w:rPr>
          <w:rFonts w:ascii="Times New Roman" w:hAnsi="Times New Roman" w:cs="Times New Roman"/>
          <w:sz w:val="24"/>
          <w:szCs w:val="24"/>
        </w:rPr>
        <w:t>matière préjudiciel</w:t>
      </w:r>
      <w:r w:rsidR="003E281B" w:rsidRPr="00695693">
        <w:rPr>
          <w:rFonts w:ascii="Times New Roman" w:hAnsi="Times New Roman" w:cs="Times New Roman"/>
          <w:sz w:val="24"/>
          <w:szCs w:val="24"/>
        </w:rPr>
        <w:t>le</w:t>
      </w:r>
      <w:r w:rsidRPr="00695693">
        <w:rPr>
          <w:rFonts w:ascii="Times New Roman" w:hAnsi="Times New Roman" w:cs="Times New Roman"/>
          <w:sz w:val="24"/>
          <w:szCs w:val="24"/>
        </w:rPr>
        <w:t xml:space="preserve"> les cours de justice ont « </w:t>
      </w:r>
      <w:r w:rsidRPr="00695693">
        <w:rPr>
          <w:rFonts w:ascii="Times New Roman" w:hAnsi="Times New Roman" w:cs="Times New Roman"/>
          <w:i/>
          <w:sz w:val="24"/>
          <w:szCs w:val="24"/>
        </w:rPr>
        <w:t>pour mission régulatrice précisément d’assurer le respect du droit dans l’interprétation et l’application du traité</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359"/>
      </w:r>
      <w:r w:rsidR="005E07BF" w:rsidRPr="00695693">
        <w:rPr>
          <w:rFonts w:ascii="Times New Roman" w:hAnsi="Times New Roman" w:cs="Times New Roman"/>
          <w:sz w:val="24"/>
          <w:szCs w:val="24"/>
        </w:rPr>
        <w:t xml:space="preserve">.  </w:t>
      </w:r>
      <w:r w:rsidR="00E21FF6" w:rsidRPr="00695693">
        <w:rPr>
          <w:rFonts w:ascii="Times New Roman" w:hAnsi="Times New Roman" w:cs="Times New Roman"/>
          <w:sz w:val="24"/>
          <w:szCs w:val="24"/>
        </w:rPr>
        <w:t>Toutefois</w:t>
      </w:r>
      <w:r w:rsidRPr="00695693">
        <w:rPr>
          <w:rFonts w:ascii="Times New Roman" w:hAnsi="Times New Roman" w:cs="Times New Roman"/>
          <w:sz w:val="24"/>
          <w:szCs w:val="24"/>
        </w:rPr>
        <w:t>, il convient de faire une nuance, en ce sens que l’absence d’auto-saisine de la Cour ne signifie pas nécessairement</w:t>
      </w:r>
      <w:r w:rsidR="009859FE" w:rsidRPr="00695693">
        <w:rPr>
          <w:rFonts w:ascii="Times New Roman" w:hAnsi="Times New Roman" w:cs="Times New Roman"/>
          <w:sz w:val="24"/>
          <w:szCs w:val="24"/>
        </w:rPr>
        <w:t xml:space="preserve"> une</w:t>
      </w:r>
      <w:r w:rsidRPr="00695693">
        <w:rPr>
          <w:rFonts w:ascii="Times New Roman" w:hAnsi="Times New Roman" w:cs="Times New Roman"/>
          <w:sz w:val="24"/>
          <w:szCs w:val="24"/>
        </w:rPr>
        <w:t xml:space="preserve"> méconnaissance absolue des faits du litige national. En effet, il serait utile pour une meilleur</w:t>
      </w:r>
      <w:r w:rsidR="0010695E" w:rsidRPr="00695693">
        <w:rPr>
          <w:rFonts w:ascii="Times New Roman" w:hAnsi="Times New Roman" w:cs="Times New Roman"/>
          <w:sz w:val="24"/>
          <w:szCs w:val="24"/>
        </w:rPr>
        <w:t>e</w:t>
      </w:r>
      <w:r w:rsidRPr="00695693">
        <w:rPr>
          <w:rFonts w:ascii="Times New Roman" w:hAnsi="Times New Roman" w:cs="Times New Roman"/>
          <w:sz w:val="24"/>
          <w:szCs w:val="24"/>
        </w:rPr>
        <w:t xml:space="preserve"> prise en compte des attentes du juge national que celui-ci donne à la Cour des indications concernant : l’objet du litige, les faits de la cause, la législation nationale applicable et s’il y a lieu le point de vue des </w:t>
      </w:r>
      <w:r w:rsidR="0010695E" w:rsidRPr="00695693">
        <w:rPr>
          <w:rFonts w:ascii="Times New Roman" w:hAnsi="Times New Roman" w:cs="Times New Roman"/>
          <w:sz w:val="24"/>
          <w:szCs w:val="24"/>
        </w:rPr>
        <w:t>parties sur la question objet de</w:t>
      </w:r>
      <w:r w:rsidRPr="00695693">
        <w:rPr>
          <w:rFonts w:ascii="Times New Roman" w:hAnsi="Times New Roman" w:cs="Times New Roman"/>
          <w:sz w:val="24"/>
          <w:szCs w:val="24"/>
        </w:rPr>
        <w:t xml:space="preserve"> renvoi</w:t>
      </w:r>
      <w:r w:rsidR="00BD227C">
        <w:rPr>
          <w:rStyle w:val="Appelnotedebasdep"/>
          <w:rFonts w:ascii="Times New Roman" w:hAnsi="Times New Roman" w:cs="Times New Roman"/>
          <w:sz w:val="24"/>
          <w:szCs w:val="24"/>
        </w:rPr>
        <w:footnoteReference w:id="360"/>
      </w:r>
      <w:r w:rsidRPr="00695693">
        <w:rPr>
          <w:rFonts w:ascii="Times New Roman" w:hAnsi="Times New Roman" w:cs="Times New Roman"/>
          <w:sz w:val="24"/>
          <w:szCs w:val="24"/>
        </w:rPr>
        <w:t>.</w:t>
      </w:r>
    </w:p>
    <w:p w:rsidR="003A0DAB"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De toute façon, on gardera à l’esprit que l’absence d’auto-saisine, tout comme l’absence de</w:t>
      </w:r>
      <w:r w:rsidR="00582BE0" w:rsidRPr="00695693">
        <w:rPr>
          <w:rFonts w:ascii="Times New Roman" w:hAnsi="Times New Roman" w:cs="Times New Roman"/>
          <w:sz w:val="24"/>
          <w:szCs w:val="24"/>
        </w:rPr>
        <w:t xml:space="preserve"> sanction spécifique en matière </w:t>
      </w:r>
      <w:r w:rsidRPr="00695693">
        <w:rPr>
          <w:rFonts w:ascii="Times New Roman" w:hAnsi="Times New Roman" w:cs="Times New Roman"/>
          <w:sz w:val="24"/>
          <w:szCs w:val="24"/>
        </w:rPr>
        <w:t>préjudicie</w:t>
      </w:r>
      <w:r w:rsidR="0010695E" w:rsidRPr="00695693">
        <w:rPr>
          <w:rFonts w:ascii="Times New Roman" w:hAnsi="Times New Roman" w:cs="Times New Roman"/>
          <w:sz w:val="24"/>
          <w:szCs w:val="24"/>
        </w:rPr>
        <w:t>l</w:t>
      </w:r>
      <w:r w:rsidRPr="00695693">
        <w:rPr>
          <w:rFonts w:ascii="Times New Roman" w:hAnsi="Times New Roman" w:cs="Times New Roman"/>
          <w:sz w:val="24"/>
          <w:szCs w:val="24"/>
        </w:rPr>
        <w:t>l</w:t>
      </w:r>
      <w:r w:rsidR="0010695E" w:rsidRPr="00695693">
        <w:rPr>
          <w:rFonts w:ascii="Times New Roman" w:hAnsi="Times New Roman" w:cs="Times New Roman"/>
          <w:sz w:val="24"/>
          <w:szCs w:val="24"/>
        </w:rPr>
        <w:t>e</w:t>
      </w:r>
      <w:r w:rsidR="009859FE" w:rsidRPr="00695693">
        <w:rPr>
          <w:rFonts w:ascii="Times New Roman" w:hAnsi="Times New Roman" w:cs="Times New Roman"/>
          <w:sz w:val="24"/>
          <w:szCs w:val="24"/>
        </w:rPr>
        <w:t>,</w:t>
      </w:r>
      <w:r w:rsidR="00BC4079">
        <w:rPr>
          <w:rFonts w:ascii="Times New Roman" w:hAnsi="Times New Roman" w:cs="Times New Roman"/>
          <w:sz w:val="24"/>
          <w:szCs w:val="24"/>
        </w:rPr>
        <w:t xml:space="preserve"> sont autant d’</w:t>
      </w:r>
      <w:r w:rsidRPr="00695693">
        <w:rPr>
          <w:rFonts w:ascii="Times New Roman" w:hAnsi="Times New Roman" w:cs="Times New Roman"/>
          <w:sz w:val="24"/>
          <w:szCs w:val="24"/>
        </w:rPr>
        <w:t xml:space="preserve">obstacles </w:t>
      </w:r>
      <w:r w:rsidR="00D7105D">
        <w:rPr>
          <w:rFonts w:ascii="Times New Roman" w:hAnsi="Times New Roman" w:cs="Times New Roman"/>
          <w:sz w:val="24"/>
          <w:szCs w:val="24"/>
        </w:rPr>
        <w:t xml:space="preserve">matériaux </w:t>
      </w:r>
      <w:r w:rsidRPr="00695693">
        <w:rPr>
          <w:rFonts w:ascii="Times New Roman" w:hAnsi="Times New Roman" w:cs="Times New Roman"/>
          <w:sz w:val="24"/>
          <w:szCs w:val="24"/>
        </w:rPr>
        <w:t xml:space="preserve">résultant du texte CEDEAO et portant atteinte à l’effectivité du </w:t>
      </w:r>
      <w:r w:rsidR="00582BE0" w:rsidRPr="00695693">
        <w:rPr>
          <w:rFonts w:ascii="Times New Roman" w:hAnsi="Times New Roman" w:cs="Times New Roman"/>
          <w:sz w:val="24"/>
          <w:szCs w:val="24"/>
        </w:rPr>
        <w:t xml:space="preserve">mécanisme de </w:t>
      </w:r>
      <w:r w:rsidRPr="00695693">
        <w:rPr>
          <w:rFonts w:ascii="Times New Roman" w:hAnsi="Times New Roman" w:cs="Times New Roman"/>
          <w:sz w:val="24"/>
          <w:szCs w:val="24"/>
        </w:rPr>
        <w:t xml:space="preserve">renvoi préjudiciel. A côté de ces obstacles, s’ajoutent les </w:t>
      </w:r>
      <w:r w:rsidR="004D61FC" w:rsidRPr="00695693">
        <w:rPr>
          <w:rFonts w:ascii="Times New Roman" w:hAnsi="Times New Roman" w:cs="Times New Roman"/>
          <w:sz w:val="24"/>
          <w:szCs w:val="24"/>
        </w:rPr>
        <w:t xml:space="preserve">précarités </w:t>
      </w:r>
      <w:r w:rsidRPr="00695693">
        <w:rPr>
          <w:rFonts w:ascii="Times New Roman" w:hAnsi="Times New Roman" w:cs="Times New Roman"/>
          <w:sz w:val="24"/>
          <w:szCs w:val="24"/>
        </w:rPr>
        <w:t>judiciaires.</w:t>
      </w:r>
    </w:p>
    <w:p w:rsidR="00694424" w:rsidRPr="008159B8" w:rsidRDefault="00036959" w:rsidP="002F7CA3">
      <w:pPr>
        <w:pStyle w:val="Titre4"/>
      </w:pPr>
      <w:bookmarkStart w:id="104" w:name="_Toc518672837"/>
      <w:r w:rsidRPr="008159B8">
        <w:t>§ 2</w:t>
      </w:r>
      <w:r w:rsidR="00694424" w:rsidRPr="008159B8">
        <w:t xml:space="preserve">: Les </w:t>
      </w:r>
      <w:r w:rsidR="00191620" w:rsidRPr="008159B8">
        <w:t xml:space="preserve">précarités </w:t>
      </w:r>
      <w:r w:rsidR="00694424" w:rsidRPr="008159B8">
        <w:t>judiciaires</w:t>
      </w:r>
      <w:bookmarkEnd w:id="104"/>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Elles renvoient concrètement à ce qui est constatable sur le terrain judiciaire, notamment de</w:t>
      </w:r>
      <w:r w:rsidR="001974C5">
        <w:rPr>
          <w:rFonts w:ascii="Times New Roman" w:hAnsi="Times New Roman" w:cs="Times New Roman"/>
          <w:sz w:val="24"/>
          <w:szCs w:val="24"/>
        </w:rPr>
        <w:t xml:space="preserve">vant le prétoire de la Cour </w:t>
      </w:r>
      <w:r w:rsidR="00AC1DC3" w:rsidRPr="00695693">
        <w:rPr>
          <w:rFonts w:ascii="Times New Roman" w:hAnsi="Times New Roman" w:cs="Times New Roman"/>
          <w:sz w:val="24"/>
          <w:szCs w:val="24"/>
        </w:rPr>
        <w:t>de j</w:t>
      </w:r>
      <w:r w:rsidRPr="00695693">
        <w:rPr>
          <w:rFonts w:ascii="Times New Roman" w:hAnsi="Times New Roman" w:cs="Times New Roman"/>
          <w:sz w:val="24"/>
          <w:szCs w:val="24"/>
        </w:rPr>
        <w:t>ustice de la communauté. En droit CEDEAO, depuis l’adoption du Protoc</w:t>
      </w:r>
      <w:r w:rsidR="00E2082A">
        <w:rPr>
          <w:rFonts w:ascii="Times New Roman" w:hAnsi="Times New Roman" w:cs="Times New Roman"/>
          <w:sz w:val="24"/>
          <w:szCs w:val="24"/>
        </w:rPr>
        <w:t>ole qui consacre le mécanisme du</w:t>
      </w:r>
      <w:r w:rsidRPr="00695693">
        <w:rPr>
          <w:rFonts w:ascii="Times New Roman" w:hAnsi="Times New Roman" w:cs="Times New Roman"/>
          <w:sz w:val="24"/>
          <w:szCs w:val="24"/>
        </w:rPr>
        <w:t xml:space="preserve"> renvoi p</w:t>
      </w:r>
      <w:r w:rsidR="00AC1DC3" w:rsidRPr="00695693">
        <w:rPr>
          <w:rFonts w:ascii="Times New Roman" w:hAnsi="Times New Roman" w:cs="Times New Roman"/>
          <w:sz w:val="24"/>
          <w:szCs w:val="24"/>
        </w:rPr>
        <w:t xml:space="preserve">réjudiciel, </w:t>
      </w:r>
      <w:r w:rsidR="00582BE0" w:rsidRPr="00695693">
        <w:rPr>
          <w:rFonts w:ascii="Times New Roman" w:hAnsi="Times New Roman" w:cs="Times New Roman"/>
          <w:sz w:val="24"/>
          <w:szCs w:val="24"/>
        </w:rPr>
        <w:t xml:space="preserve">on constate une </w:t>
      </w:r>
      <w:r w:rsidR="00582BE0" w:rsidRPr="00695693">
        <w:rPr>
          <w:rFonts w:ascii="Times New Roman" w:hAnsi="Times New Roman" w:cs="Times New Roman"/>
          <w:sz w:val="24"/>
          <w:szCs w:val="24"/>
        </w:rPr>
        <w:lastRenderedPageBreak/>
        <w:t xml:space="preserve">absence de précédent jurisprudentiel en matière préjudicielle </w:t>
      </w:r>
      <w:r w:rsidR="005E07BF" w:rsidRPr="001B59E3">
        <w:rPr>
          <w:rFonts w:ascii="Times New Roman" w:hAnsi="Times New Roman" w:cs="Times New Roman"/>
          <w:b/>
          <w:sz w:val="24"/>
          <w:szCs w:val="24"/>
        </w:rPr>
        <w:t>(A)</w:t>
      </w:r>
      <w:r w:rsidRPr="00695693">
        <w:rPr>
          <w:rFonts w:ascii="Times New Roman" w:hAnsi="Times New Roman" w:cs="Times New Roman"/>
          <w:sz w:val="24"/>
          <w:szCs w:val="24"/>
        </w:rPr>
        <w:t>. L</w:t>
      </w:r>
      <w:r w:rsidR="00582BE0" w:rsidRPr="00695693">
        <w:rPr>
          <w:rFonts w:ascii="Times New Roman" w:hAnsi="Times New Roman" w:cs="Times New Roman"/>
          <w:sz w:val="24"/>
          <w:szCs w:val="24"/>
        </w:rPr>
        <w:t>a plupart d</w:t>
      </w:r>
      <w:r w:rsidRPr="00695693">
        <w:rPr>
          <w:rFonts w:ascii="Times New Roman" w:hAnsi="Times New Roman" w:cs="Times New Roman"/>
          <w:sz w:val="24"/>
          <w:szCs w:val="24"/>
        </w:rPr>
        <w:t>es litiges à jour devant son prétoire relèvent pour l’essentiel des droits de l’homme</w:t>
      </w:r>
      <w:r w:rsidR="005E07BF" w:rsidRPr="001B59E3">
        <w:rPr>
          <w:rFonts w:ascii="Times New Roman" w:hAnsi="Times New Roman" w:cs="Times New Roman"/>
          <w:b/>
          <w:sz w:val="24"/>
          <w:szCs w:val="24"/>
        </w:rPr>
        <w:t>(B)</w:t>
      </w:r>
      <w:r w:rsidRPr="00695693">
        <w:rPr>
          <w:rFonts w:ascii="Times New Roman" w:hAnsi="Times New Roman" w:cs="Times New Roman"/>
          <w:sz w:val="24"/>
          <w:szCs w:val="24"/>
        </w:rPr>
        <w:t xml:space="preserve">. </w:t>
      </w:r>
    </w:p>
    <w:p w:rsidR="00694424" w:rsidRPr="008159B8" w:rsidRDefault="00694424" w:rsidP="0037430F">
      <w:pPr>
        <w:pStyle w:val="Titre5"/>
      </w:pPr>
      <w:bookmarkStart w:id="105" w:name="_Toc518672838"/>
      <w:r w:rsidRPr="008159B8">
        <w:t>A. L’absence de précédent jurisprudentiel en matière préjudicielle</w:t>
      </w:r>
      <w:bookmarkEnd w:id="105"/>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Pour rappel, la règ</w:t>
      </w:r>
      <w:r w:rsidR="003A1312" w:rsidRPr="00695693">
        <w:rPr>
          <w:rFonts w:ascii="Times New Roman" w:hAnsi="Times New Roman" w:cs="Times New Roman"/>
          <w:sz w:val="24"/>
          <w:szCs w:val="24"/>
        </w:rPr>
        <w:t xml:space="preserve">le du précédent jurisprudentiel </w:t>
      </w:r>
      <w:r w:rsidRPr="00695693">
        <w:rPr>
          <w:rFonts w:ascii="Times New Roman" w:hAnsi="Times New Roman" w:cs="Times New Roman"/>
          <w:sz w:val="24"/>
          <w:szCs w:val="24"/>
        </w:rPr>
        <w:t>constitue une limite à l’obligation de renvoi pesant sur les juridictions suprêmes des Etats membres. La CJCE a depuis lors estimé qu’ « </w:t>
      </w:r>
      <w:r w:rsidRPr="00695693">
        <w:rPr>
          <w:rFonts w:ascii="Times New Roman" w:hAnsi="Times New Roman" w:cs="Times New Roman"/>
          <w:i/>
          <w:sz w:val="24"/>
          <w:szCs w:val="24"/>
        </w:rPr>
        <w:t>il n’y avait pas lieu de répondre à la question qui lui était adressée, au motif que, par un arrêt du même jour, elle avait répondu à une question identique posée par un autre juge</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361"/>
      </w:r>
      <w:r w:rsidR="00610F83">
        <w:rPr>
          <w:rFonts w:ascii="Times New Roman" w:hAnsi="Times New Roman" w:cs="Times New Roman"/>
          <w:sz w:val="24"/>
          <w:szCs w:val="24"/>
        </w:rPr>
        <w:t xml:space="preserve">. </w:t>
      </w:r>
      <w:r w:rsidRPr="00695693">
        <w:rPr>
          <w:rFonts w:ascii="Times New Roman" w:hAnsi="Times New Roman" w:cs="Times New Roman"/>
          <w:sz w:val="24"/>
          <w:szCs w:val="24"/>
        </w:rPr>
        <w:t>En droit communautaire de la CEDEAO, on peut s’alarmer aujourd’hui de l’absence de tout re</w:t>
      </w:r>
      <w:r w:rsidR="00AC1DC3" w:rsidRPr="00695693">
        <w:rPr>
          <w:rFonts w:ascii="Times New Roman" w:hAnsi="Times New Roman" w:cs="Times New Roman"/>
          <w:sz w:val="24"/>
          <w:szCs w:val="24"/>
        </w:rPr>
        <w:t>cours préjudiciel à la Cour de j</w:t>
      </w:r>
      <w:r w:rsidRPr="00695693">
        <w:rPr>
          <w:rFonts w:ascii="Times New Roman" w:hAnsi="Times New Roman" w:cs="Times New Roman"/>
          <w:sz w:val="24"/>
          <w:szCs w:val="24"/>
        </w:rPr>
        <w:t>ustice de la</w:t>
      </w:r>
      <w:r w:rsidR="00AC5990" w:rsidRPr="00695693">
        <w:rPr>
          <w:rFonts w:ascii="Times New Roman" w:hAnsi="Times New Roman" w:cs="Times New Roman"/>
          <w:sz w:val="24"/>
          <w:szCs w:val="24"/>
        </w:rPr>
        <w:t xml:space="preserve"> communauté</w:t>
      </w:r>
      <w:r w:rsidR="003A1312" w:rsidRPr="00695693">
        <w:rPr>
          <w:rFonts w:ascii="Times New Roman" w:hAnsi="Times New Roman" w:cs="Times New Roman"/>
          <w:sz w:val="24"/>
          <w:szCs w:val="24"/>
        </w:rPr>
        <w:t xml:space="preserve">. </w:t>
      </w:r>
      <w:r w:rsidR="00B36A74">
        <w:rPr>
          <w:rFonts w:ascii="Times New Roman" w:hAnsi="Times New Roman" w:cs="Times New Roman"/>
          <w:sz w:val="24"/>
          <w:szCs w:val="24"/>
        </w:rPr>
        <w:t>En effet, si c</w:t>
      </w:r>
      <w:r w:rsidRPr="00695693">
        <w:rPr>
          <w:rFonts w:ascii="Times New Roman" w:hAnsi="Times New Roman" w:cs="Times New Roman"/>
          <w:sz w:val="24"/>
          <w:szCs w:val="24"/>
        </w:rPr>
        <w:t xml:space="preserve">ette absence de tout recours préjudiciel peut laisser </w:t>
      </w:r>
      <w:r w:rsidR="002865F1">
        <w:rPr>
          <w:rFonts w:ascii="Times New Roman" w:hAnsi="Times New Roman" w:cs="Times New Roman"/>
          <w:sz w:val="24"/>
          <w:szCs w:val="24"/>
        </w:rPr>
        <w:t xml:space="preserve">voir en filigrane </w:t>
      </w:r>
      <w:r w:rsidRPr="002865F1">
        <w:rPr>
          <w:rFonts w:ascii="Times New Roman" w:hAnsi="Times New Roman" w:cs="Times New Roman"/>
          <w:sz w:val="24"/>
          <w:szCs w:val="24"/>
        </w:rPr>
        <w:t>la</w:t>
      </w:r>
      <w:r w:rsidR="002865F1">
        <w:rPr>
          <w:rFonts w:ascii="Times New Roman" w:hAnsi="Times New Roman" w:cs="Times New Roman"/>
          <w:sz w:val="24"/>
          <w:szCs w:val="24"/>
        </w:rPr>
        <w:t xml:space="preserve"> non étroite coopération,</w:t>
      </w:r>
      <w:r w:rsidR="002865F1" w:rsidRPr="002865F1">
        <w:rPr>
          <w:rFonts w:ascii="Times New Roman" w:hAnsi="Times New Roman" w:cs="Times New Roman"/>
          <w:sz w:val="24"/>
          <w:szCs w:val="24"/>
        </w:rPr>
        <w:t xml:space="preserve"> voire</w:t>
      </w:r>
      <w:r w:rsidRPr="00695693">
        <w:rPr>
          <w:rFonts w:ascii="Times New Roman" w:hAnsi="Times New Roman" w:cs="Times New Roman"/>
          <w:sz w:val="24"/>
          <w:szCs w:val="24"/>
        </w:rPr>
        <w:t>l’absence de collaboration entre les juridictions nationales d</w:t>
      </w:r>
      <w:r w:rsidR="00AC1DC3" w:rsidRPr="00695693">
        <w:rPr>
          <w:rFonts w:ascii="Times New Roman" w:hAnsi="Times New Roman" w:cs="Times New Roman"/>
          <w:sz w:val="24"/>
          <w:szCs w:val="24"/>
        </w:rPr>
        <w:t>es Etats membres et la Cour de j</w:t>
      </w:r>
      <w:r w:rsidRPr="00695693">
        <w:rPr>
          <w:rFonts w:ascii="Times New Roman" w:hAnsi="Times New Roman" w:cs="Times New Roman"/>
          <w:sz w:val="24"/>
          <w:szCs w:val="24"/>
        </w:rPr>
        <w:t>ustice de la communauté</w:t>
      </w:r>
      <w:r w:rsidR="00B36A74">
        <w:rPr>
          <w:rFonts w:ascii="Times New Roman" w:hAnsi="Times New Roman" w:cs="Times New Roman"/>
          <w:sz w:val="24"/>
          <w:szCs w:val="24"/>
        </w:rPr>
        <w:t>, il ne serait pas inutile de rappeler que le</w:t>
      </w:r>
      <w:r w:rsidR="00476BBD">
        <w:rPr>
          <w:rFonts w:ascii="Times New Roman" w:hAnsi="Times New Roman" w:cs="Times New Roman"/>
          <w:sz w:val="24"/>
          <w:szCs w:val="24"/>
        </w:rPr>
        <w:t xml:space="preserve"> mécanisme du renvoi préjudiciel en droit CEDEAO est loin d’accomplir l’objectif primordial pour lequel il a été consacré</w:t>
      </w:r>
      <w:r w:rsidR="00476BBD">
        <w:rPr>
          <w:rStyle w:val="Appelnotedebasdep"/>
          <w:rFonts w:ascii="Times New Roman" w:hAnsi="Times New Roman" w:cs="Times New Roman"/>
          <w:sz w:val="24"/>
          <w:szCs w:val="24"/>
        </w:rPr>
        <w:footnoteReference w:id="362"/>
      </w:r>
      <w:r w:rsidRPr="00695693">
        <w:rPr>
          <w:rFonts w:ascii="Times New Roman" w:hAnsi="Times New Roman" w:cs="Times New Roman"/>
          <w:sz w:val="24"/>
          <w:szCs w:val="24"/>
        </w:rPr>
        <w:t>.</w:t>
      </w:r>
      <w:r w:rsidR="00FA20B9">
        <w:rPr>
          <w:rFonts w:ascii="Times New Roman" w:hAnsi="Times New Roman" w:cs="Times New Roman"/>
          <w:sz w:val="24"/>
          <w:szCs w:val="24"/>
        </w:rPr>
        <w:t xml:space="preserve"> Toutefois, cette inexistence du recours préjudiciel </w:t>
      </w:r>
      <w:r w:rsidRPr="00FA20B9">
        <w:rPr>
          <w:rFonts w:ascii="Times New Roman" w:hAnsi="Times New Roman" w:cs="Times New Roman"/>
          <w:sz w:val="24"/>
          <w:szCs w:val="24"/>
        </w:rPr>
        <w:t>pourrait se justifier par un certain nombre des problèmes.</w:t>
      </w:r>
      <w:r w:rsidRPr="00695693">
        <w:rPr>
          <w:rFonts w:ascii="Times New Roman" w:hAnsi="Times New Roman" w:cs="Times New Roman"/>
          <w:sz w:val="24"/>
          <w:szCs w:val="24"/>
        </w:rPr>
        <w:t xml:space="preserve"> Outre les difficultés examinées ci-dessus</w:t>
      </w:r>
      <w:r w:rsidRPr="00695693">
        <w:rPr>
          <w:rStyle w:val="Appelnotedebasdep"/>
          <w:rFonts w:ascii="Times New Roman" w:hAnsi="Times New Roman" w:cs="Times New Roman"/>
          <w:sz w:val="24"/>
          <w:szCs w:val="24"/>
        </w:rPr>
        <w:footnoteReference w:id="363"/>
      </w:r>
      <w:r w:rsidRPr="00695693">
        <w:rPr>
          <w:rFonts w:ascii="Times New Roman" w:hAnsi="Times New Roman" w:cs="Times New Roman"/>
          <w:sz w:val="24"/>
          <w:szCs w:val="24"/>
        </w:rPr>
        <w:t xml:space="preserve">, on peut </w:t>
      </w:r>
      <w:r w:rsidR="005C5C27" w:rsidRPr="00695693">
        <w:rPr>
          <w:rFonts w:ascii="Times New Roman" w:hAnsi="Times New Roman" w:cs="Times New Roman"/>
          <w:sz w:val="24"/>
          <w:szCs w:val="24"/>
        </w:rPr>
        <w:t xml:space="preserve">déjà </w:t>
      </w:r>
      <w:r w:rsidRPr="00695693">
        <w:rPr>
          <w:rFonts w:ascii="Times New Roman" w:hAnsi="Times New Roman" w:cs="Times New Roman"/>
          <w:sz w:val="24"/>
          <w:szCs w:val="24"/>
        </w:rPr>
        <w:t xml:space="preserve">penser à des problèmes d’ordre rédactionnel, c’est-à-dire liés à la pratique même de rédiger une question préjudicielle. Sur ce point, il suffit de se référer en droit UEMOA où, parmi les questions préjudicielles posées au juge UEMOA, seule la question posée par la Cour d’appel de Lomé semblait pertinente, mais inopportune compte tenu du fait que la Cour s’est déjà prononcée sur une question de même nature. </w:t>
      </w:r>
      <w:r w:rsidR="00AC5990" w:rsidRPr="00695693">
        <w:rPr>
          <w:rFonts w:ascii="Times New Roman" w:hAnsi="Times New Roman" w:cs="Times New Roman"/>
          <w:sz w:val="24"/>
          <w:szCs w:val="24"/>
        </w:rPr>
        <w:t xml:space="preserve">Il en est de même </w:t>
      </w:r>
      <w:r w:rsidRPr="00695693">
        <w:rPr>
          <w:rFonts w:ascii="Times New Roman" w:hAnsi="Times New Roman" w:cs="Times New Roman"/>
          <w:sz w:val="24"/>
          <w:szCs w:val="24"/>
        </w:rPr>
        <w:t>de la demande du Conseil d’Etat sénégalais</w:t>
      </w:r>
      <w:r w:rsidR="00AC5990" w:rsidRPr="00695693">
        <w:rPr>
          <w:rFonts w:ascii="Times New Roman" w:hAnsi="Times New Roman" w:cs="Times New Roman"/>
          <w:sz w:val="24"/>
          <w:szCs w:val="24"/>
        </w:rPr>
        <w:t xml:space="preserve"> où</w:t>
      </w:r>
      <w:r w:rsidR="009366FF" w:rsidRPr="00695693">
        <w:rPr>
          <w:rFonts w:ascii="Times New Roman" w:hAnsi="Times New Roman" w:cs="Times New Roman"/>
          <w:sz w:val="24"/>
          <w:szCs w:val="24"/>
        </w:rPr>
        <w:t xml:space="preserve"> la Cour de j</w:t>
      </w:r>
      <w:r w:rsidRPr="00695693">
        <w:rPr>
          <w:rFonts w:ascii="Times New Roman" w:hAnsi="Times New Roman" w:cs="Times New Roman"/>
          <w:sz w:val="24"/>
          <w:szCs w:val="24"/>
        </w:rPr>
        <w:t xml:space="preserve">ustice </w:t>
      </w:r>
      <w:r w:rsidR="009366FF" w:rsidRPr="00695693">
        <w:rPr>
          <w:rFonts w:ascii="Times New Roman" w:hAnsi="Times New Roman" w:cs="Times New Roman"/>
          <w:sz w:val="24"/>
          <w:szCs w:val="24"/>
        </w:rPr>
        <w:t xml:space="preserve">de l’UEMOA </w:t>
      </w:r>
      <w:r w:rsidRPr="00695693">
        <w:rPr>
          <w:rFonts w:ascii="Times New Roman" w:hAnsi="Times New Roman" w:cs="Times New Roman"/>
          <w:sz w:val="24"/>
          <w:szCs w:val="24"/>
        </w:rPr>
        <w:t>s’est donnée le droit de la modifier puisqu’elle considère que « </w:t>
      </w:r>
      <w:r w:rsidRPr="00695693">
        <w:rPr>
          <w:rFonts w:ascii="Times New Roman" w:hAnsi="Times New Roman" w:cs="Times New Roman"/>
          <w:i/>
          <w:sz w:val="24"/>
          <w:szCs w:val="24"/>
        </w:rPr>
        <w:t>la question telle qu’elle a été posée n’est pas une question préjudicielle de type classique prévue par l’article12 du Protocole additionnel n°1</w:t>
      </w:r>
      <w:r w:rsidRPr="00695693">
        <w:rPr>
          <w:rFonts w:ascii="Times New Roman" w:hAnsi="Times New Roman" w:cs="Times New Roman"/>
          <w:sz w:val="24"/>
          <w:szCs w:val="24"/>
        </w:rPr>
        <w:t> »</w:t>
      </w:r>
      <w:r w:rsidRPr="00695693">
        <w:rPr>
          <w:rStyle w:val="Appelnotedebasdep"/>
          <w:rFonts w:ascii="Times New Roman" w:hAnsi="Times New Roman" w:cs="Times New Roman"/>
          <w:sz w:val="24"/>
          <w:szCs w:val="24"/>
        </w:rPr>
        <w:footnoteReference w:id="364"/>
      </w:r>
      <w:r w:rsidRPr="00695693">
        <w:rPr>
          <w:rFonts w:ascii="Times New Roman" w:hAnsi="Times New Roman" w:cs="Times New Roman"/>
          <w:sz w:val="24"/>
          <w:szCs w:val="24"/>
        </w:rPr>
        <w:t xml:space="preserve"> sur les organes de contrôle de l’UEMOA.</w:t>
      </w:r>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lastRenderedPageBreak/>
        <w:t>Etant donné que tous les Etats membres de l’UEMOA</w:t>
      </w:r>
      <w:r w:rsidRPr="00695693">
        <w:rPr>
          <w:rStyle w:val="Appelnotedebasdep"/>
          <w:rFonts w:ascii="Times New Roman" w:hAnsi="Times New Roman" w:cs="Times New Roman"/>
          <w:sz w:val="24"/>
          <w:szCs w:val="24"/>
        </w:rPr>
        <w:footnoteReference w:id="365"/>
      </w:r>
      <w:r w:rsidRPr="00695693">
        <w:rPr>
          <w:rFonts w:ascii="Times New Roman" w:hAnsi="Times New Roman" w:cs="Times New Roman"/>
          <w:sz w:val="24"/>
          <w:szCs w:val="24"/>
        </w:rPr>
        <w:t xml:space="preserve"> sont aussi membres de la CEDEAO</w:t>
      </w:r>
      <w:r w:rsidRPr="00695693">
        <w:rPr>
          <w:rStyle w:val="Appelnotedebasdep"/>
          <w:rFonts w:ascii="Times New Roman" w:hAnsi="Times New Roman" w:cs="Times New Roman"/>
          <w:sz w:val="24"/>
          <w:szCs w:val="24"/>
        </w:rPr>
        <w:footnoteReference w:id="366"/>
      </w:r>
      <w:r w:rsidRPr="00695693">
        <w:rPr>
          <w:rFonts w:ascii="Times New Roman" w:hAnsi="Times New Roman" w:cs="Times New Roman"/>
          <w:sz w:val="24"/>
          <w:szCs w:val="24"/>
        </w:rPr>
        <w:t>, on pourrait dire que les deux systèmes rendent compte de la même réalité. C’est ainsi, afin de faire face à ce problème d’ordre rédactionnel, il aurait été indiqué une notice informative sur l’introduction de procédures préjudicielles par les juridictions nationales des Etats membres. Il serait aussi souhaitable d’instaurer des ateliers de formation sur la rédaction des questions pr</w:t>
      </w:r>
      <w:r w:rsidR="009366FF" w:rsidRPr="00695693">
        <w:rPr>
          <w:rFonts w:ascii="Times New Roman" w:hAnsi="Times New Roman" w:cs="Times New Roman"/>
          <w:sz w:val="24"/>
          <w:szCs w:val="24"/>
        </w:rPr>
        <w:t>éjudicielles devant la Cour de j</w:t>
      </w:r>
      <w:r w:rsidRPr="00695693">
        <w:rPr>
          <w:rFonts w:ascii="Times New Roman" w:hAnsi="Times New Roman" w:cs="Times New Roman"/>
          <w:sz w:val="24"/>
          <w:szCs w:val="24"/>
        </w:rPr>
        <w:t>ustice</w:t>
      </w:r>
      <w:r w:rsidRPr="00695693">
        <w:rPr>
          <w:rStyle w:val="Appelnotedebasdep"/>
          <w:rFonts w:ascii="Times New Roman" w:hAnsi="Times New Roman" w:cs="Times New Roman"/>
          <w:sz w:val="24"/>
          <w:szCs w:val="24"/>
        </w:rPr>
        <w:footnoteReference w:id="367"/>
      </w:r>
      <w:r w:rsidRPr="00695693">
        <w:rPr>
          <w:rFonts w:ascii="Times New Roman" w:hAnsi="Times New Roman" w:cs="Times New Roman"/>
          <w:sz w:val="24"/>
          <w:szCs w:val="24"/>
        </w:rPr>
        <w:t>. Ce qui ne manquera pas de faire intervenir un centre en la matière à l’image du centre européen de la Magistrature et des professions juridiques. Il ne serait par exemple pas inutile de prendre en compte l’ERSUMA ou d’intégrer ce volet dans les différentes écoles nationales de magistrature. L’intérêt de cet atelier de formation, tout comme l’institution d’une note informative permettront bien non seulement d’éclairer les juges nationaux des Etats membres sur la manière de rédiger une question préjudicielle, mais aussi de renforcer leur</w:t>
      </w:r>
      <w:r w:rsidR="009366FF" w:rsidRPr="00695693">
        <w:rPr>
          <w:rFonts w:ascii="Times New Roman" w:hAnsi="Times New Roman" w:cs="Times New Roman"/>
          <w:sz w:val="24"/>
          <w:szCs w:val="24"/>
        </w:rPr>
        <w:t xml:space="preserve"> collaboration avec la Cour de j</w:t>
      </w:r>
      <w:r w:rsidRPr="00695693">
        <w:rPr>
          <w:rFonts w:ascii="Times New Roman" w:hAnsi="Times New Roman" w:cs="Times New Roman"/>
          <w:sz w:val="24"/>
          <w:szCs w:val="24"/>
        </w:rPr>
        <w:t>ustice en vue de développer l’ordre juridique de la communauté.</w:t>
      </w:r>
    </w:p>
    <w:p w:rsidR="00941E4C" w:rsidRPr="00695693" w:rsidRDefault="00E348B9" w:rsidP="00695693">
      <w:pPr>
        <w:spacing w:line="360" w:lineRule="auto"/>
        <w:jc w:val="both"/>
        <w:rPr>
          <w:rFonts w:ascii="Times New Roman" w:hAnsi="Times New Roman" w:cs="Times New Roman"/>
          <w:sz w:val="24"/>
          <w:szCs w:val="24"/>
        </w:rPr>
      </w:pPr>
      <w:r>
        <w:rPr>
          <w:rFonts w:ascii="Times New Roman" w:hAnsi="Times New Roman" w:cs="Times New Roman"/>
          <w:sz w:val="24"/>
          <w:szCs w:val="24"/>
        </w:rPr>
        <w:t>Cette situation est intéressante d</w:t>
      </w:r>
      <w:r w:rsidR="00694424" w:rsidRPr="00E348B9">
        <w:rPr>
          <w:rFonts w:ascii="Times New Roman" w:hAnsi="Times New Roman" w:cs="Times New Roman"/>
          <w:sz w:val="24"/>
          <w:szCs w:val="24"/>
        </w:rPr>
        <w:t xml:space="preserve">ans le système </w:t>
      </w:r>
      <w:r>
        <w:rPr>
          <w:rFonts w:ascii="Times New Roman" w:hAnsi="Times New Roman" w:cs="Times New Roman"/>
          <w:sz w:val="24"/>
          <w:szCs w:val="24"/>
        </w:rPr>
        <w:t xml:space="preserve">communautaire de l’Union </w:t>
      </w:r>
      <w:r w:rsidR="00694424" w:rsidRPr="00E348B9">
        <w:rPr>
          <w:rFonts w:ascii="Times New Roman" w:hAnsi="Times New Roman" w:cs="Times New Roman"/>
          <w:sz w:val="24"/>
          <w:szCs w:val="24"/>
        </w:rPr>
        <w:t>européen</w:t>
      </w:r>
      <w:r>
        <w:rPr>
          <w:rFonts w:ascii="Times New Roman" w:hAnsi="Times New Roman" w:cs="Times New Roman"/>
          <w:sz w:val="24"/>
          <w:szCs w:val="24"/>
        </w:rPr>
        <w:t>ne où</w:t>
      </w:r>
      <w:r w:rsidR="00694424" w:rsidRPr="00695693">
        <w:rPr>
          <w:rFonts w:ascii="Times New Roman" w:hAnsi="Times New Roman" w:cs="Times New Roman"/>
          <w:sz w:val="24"/>
          <w:szCs w:val="24"/>
        </w:rPr>
        <w:t xml:space="preserve"> le développement de l’ordre juridique communautaire est, en grande partie, le fruit de la collaboration qui </w:t>
      </w:r>
      <w:r w:rsidR="009366FF" w:rsidRPr="00695693">
        <w:rPr>
          <w:rFonts w:ascii="Times New Roman" w:hAnsi="Times New Roman" w:cs="Times New Roman"/>
          <w:sz w:val="24"/>
          <w:szCs w:val="24"/>
        </w:rPr>
        <w:t>s’est établie entre la Cour de j</w:t>
      </w:r>
      <w:r w:rsidR="00694424" w:rsidRPr="00695693">
        <w:rPr>
          <w:rFonts w:ascii="Times New Roman" w:hAnsi="Times New Roman" w:cs="Times New Roman"/>
          <w:sz w:val="24"/>
          <w:szCs w:val="24"/>
        </w:rPr>
        <w:t>ustice communautaire et les juges nationaux par le biais de la procédure préjudicielle</w:t>
      </w:r>
      <w:r w:rsidR="00B72048">
        <w:rPr>
          <w:rFonts w:ascii="Times New Roman" w:hAnsi="Times New Roman" w:cs="Times New Roman"/>
          <w:sz w:val="24"/>
          <w:szCs w:val="24"/>
        </w:rPr>
        <w:t>,</w:t>
      </w:r>
      <w:r w:rsidR="00767116">
        <w:rPr>
          <w:rFonts w:ascii="Times New Roman" w:hAnsi="Times New Roman" w:cs="Times New Roman"/>
          <w:sz w:val="24"/>
          <w:szCs w:val="24"/>
        </w:rPr>
        <w:t xml:space="preserve"> prévue aux </w:t>
      </w:r>
      <w:r w:rsidR="00694424" w:rsidRPr="00695693">
        <w:rPr>
          <w:rFonts w:ascii="Times New Roman" w:hAnsi="Times New Roman" w:cs="Times New Roman"/>
          <w:sz w:val="24"/>
          <w:szCs w:val="24"/>
        </w:rPr>
        <w:t>article</w:t>
      </w:r>
      <w:r w:rsidR="00767116">
        <w:rPr>
          <w:rFonts w:ascii="Times New Roman" w:hAnsi="Times New Roman" w:cs="Times New Roman"/>
          <w:sz w:val="24"/>
          <w:szCs w:val="24"/>
        </w:rPr>
        <w:t xml:space="preserve">s19, § 3, point b du TUE et </w:t>
      </w:r>
      <w:r w:rsidR="00694424" w:rsidRPr="00695693">
        <w:rPr>
          <w:rFonts w:ascii="Times New Roman" w:hAnsi="Times New Roman" w:cs="Times New Roman"/>
          <w:sz w:val="24"/>
          <w:szCs w:val="24"/>
        </w:rPr>
        <w:t>267 du TFUE</w:t>
      </w:r>
      <w:r w:rsidR="00694424" w:rsidRPr="00695693">
        <w:rPr>
          <w:rStyle w:val="Appelnotedebasdep"/>
          <w:rFonts w:ascii="Times New Roman" w:hAnsi="Times New Roman" w:cs="Times New Roman"/>
          <w:sz w:val="24"/>
          <w:szCs w:val="24"/>
        </w:rPr>
        <w:footnoteReference w:id="368"/>
      </w:r>
      <w:r w:rsidR="00694424" w:rsidRPr="00695693">
        <w:rPr>
          <w:rFonts w:ascii="Times New Roman" w:hAnsi="Times New Roman" w:cs="Times New Roman"/>
          <w:sz w:val="24"/>
          <w:szCs w:val="24"/>
        </w:rPr>
        <w:t xml:space="preserve">. D’ailleurs, il est important de souligner que c’est le jeu des questions préjudicielles qui était à l’origine de la plupart des grands arrêts de droit communautaire, tel que ceux rendus dans les célèbres affaires </w:t>
      </w:r>
      <w:r w:rsidR="00694424" w:rsidRPr="00695693">
        <w:rPr>
          <w:rFonts w:ascii="Times New Roman" w:hAnsi="Times New Roman" w:cs="Times New Roman"/>
          <w:i/>
          <w:sz w:val="24"/>
          <w:szCs w:val="24"/>
        </w:rPr>
        <w:t>Vand Gend en Loos</w:t>
      </w:r>
      <w:r w:rsidR="005C5C27" w:rsidRPr="00695693">
        <w:rPr>
          <w:rStyle w:val="Appelnotedebasdep"/>
          <w:rFonts w:ascii="Times New Roman" w:hAnsi="Times New Roman" w:cs="Times New Roman"/>
          <w:sz w:val="24"/>
          <w:szCs w:val="24"/>
        </w:rPr>
        <w:footnoteReference w:id="369"/>
      </w:r>
      <w:r w:rsidR="00694424" w:rsidRPr="00695693">
        <w:rPr>
          <w:rFonts w:ascii="Times New Roman" w:hAnsi="Times New Roman" w:cs="Times New Roman"/>
          <w:sz w:val="24"/>
          <w:szCs w:val="24"/>
        </w:rPr>
        <w:t xml:space="preserve">et </w:t>
      </w:r>
      <w:r w:rsidR="00694424" w:rsidRPr="00695693">
        <w:rPr>
          <w:rFonts w:ascii="Times New Roman" w:hAnsi="Times New Roman" w:cs="Times New Roman"/>
          <w:i/>
          <w:sz w:val="24"/>
          <w:szCs w:val="24"/>
        </w:rPr>
        <w:t xml:space="preserve">Costa </w:t>
      </w:r>
      <w:r w:rsidR="00694424" w:rsidRPr="00695693">
        <w:rPr>
          <w:rFonts w:ascii="Times New Roman" w:hAnsi="Times New Roman" w:cs="Times New Roman"/>
          <w:sz w:val="24"/>
          <w:szCs w:val="24"/>
        </w:rPr>
        <w:t>c/</w:t>
      </w:r>
      <w:r w:rsidR="00694424" w:rsidRPr="00695693">
        <w:rPr>
          <w:rFonts w:ascii="Times New Roman" w:hAnsi="Times New Roman" w:cs="Times New Roman"/>
          <w:i/>
          <w:sz w:val="24"/>
          <w:szCs w:val="24"/>
        </w:rPr>
        <w:t>ENEL</w:t>
      </w:r>
      <w:r w:rsidR="00694424" w:rsidRPr="00695693">
        <w:rPr>
          <w:rStyle w:val="Appelnotedebasdep"/>
          <w:rFonts w:ascii="Times New Roman" w:hAnsi="Times New Roman" w:cs="Times New Roman"/>
          <w:sz w:val="24"/>
          <w:szCs w:val="24"/>
        </w:rPr>
        <w:footnoteReference w:id="370"/>
      </w:r>
      <w:r w:rsidR="00694424" w:rsidRPr="00695693">
        <w:rPr>
          <w:rFonts w:ascii="Times New Roman" w:hAnsi="Times New Roman" w:cs="Times New Roman"/>
          <w:sz w:val="24"/>
          <w:szCs w:val="24"/>
        </w:rPr>
        <w:t xml:space="preserve"> ou l’arrêt </w:t>
      </w:r>
      <w:r w:rsidR="00694424" w:rsidRPr="00695693">
        <w:rPr>
          <w:rFonts w:ascii="Times New Roman" w:hAnsi="Times New Roman" w:cs="Times New Roman"/>
          <w:i/>
          <w:sz w:val="24"/>
          <w:szCs w:val="24"/>
        </w:rPr>
        <w:t xml:space="preserve">Da </w:t>
      </w:r>
      <w:r w:rsidR="00694424" w:rsidRPr="00695693">
        <w:rPr>
          <w:rFonts w:ascii="Times New Roman" w:hAnsi="Times New Roman" w:cs="Times New Roman"/>
          <w:i/>
          <w:sz w:val="24"/>
          <w:szCs w:val="24"/>
        </w:rPr>
        <w:lastRenderedPageBreak/>
        <w:t>Costa</w:t>
      </w:r>
      <w:r w:rsidR="00694424" w:rsidRPr="00695693">
        <w:rPr>
          <w:rStyle w:val="Appelnotedebasdep"/>
          <w:rFonts w:ascii="Times New Roman" w:hAnsi="Times New Roman" w:cs="Times New Roman"/>
          <w:sz w:val="24"/>
          <w:szCs w:val="24"/>
        </w:rPr>
        <w:footnoteReference w:id="371"/>
      </w:r>
      <w:r w:rsidR="00694424" w:rsidRPr="00695693">
        <w:rPr>
          <w:rFonts w:ascii="Times New Roman" w:hAnsi="Times New Roman" w:cs="Times New Roman"/>
          <w:sz w:val="24"/>
          <w:szCs w:val="24"/>
        </w:rPr>
        <w:t xml:space="preserve"> ou encore l’arrêt </w:t>
      </w:r>
      <w:r w:rsidR="00694424" w:rsidRPr="00695693">
        <w:rPr>
          <w:rFonts w:ascii="Times New Roman" w:hAnsi="Times New Roman" w:cs="Times New Roman"/>
          <w:i/>
          <w:sz w:val="24"/>
          <w:szCs w:val="24"/>
        </w:rPr>
        <w:t>Simmenthal</w:t>
      </w:r>
      <w:r w:rsidR="00694424" w:rsidRPr="00695693">
        <w:rPr>
          <w:rStyle w:val="Appelnotedebasdep"/>
          <w:rFonts w:ascii="Times New Roman" w:hAnsi="Times New Roman" w:cs="Times New Roman"/>
          <w:sz w:val="24"/>
          <w:szCs w:val="24"/>
        </w:rPr>
        <w:footnoteReference w:id="372"/>
      </w:r>
      <w:r w:rsidR="00694424" w:rsidRPr="00695693">
        <w:rPr>
          <w:rFonts w:ascii="Times New Roman" w:hAnsi="Times New Roman" w:cs="Times New Roman"/>
          <w:sz w:val="24"/>
          <w:szCs w:val="24"/>
        </w:rPr>
        <w:t xml:space="preserve"> qui portent sur la compétence de la Cour statuant à titre préjudiciel.</w:t>
      </w:r>
    </w:p>
    <w:p w:rsidR="00694424" w:rsidRPr="00695693" w:rsidRDefault="00941E4C"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Toutefois, il est à noter que la CJ/CEDEAO, </w:t>
      </w:r>
      <w:r w:rsidR="00694424" w:rsidRPr="00695693">
        <w:rPr>
          <w:rFonts w:ascii="Times New Roman" w:hAnsi="Times New Roman" w:cs="Times New Roman"/>
          <w:sz w:val="24"/>
          <w:szCs w:val="24"/>
        </w:rPr>
        <w:t xml:space="preserve">alors qu’elle n’a jamais eu l’occasion de se proférer sur une question de nature préjudicielle, se préoccupe </w:t>
      </w:r>
      <w:r w:rsidR="009F30C8" w:rsidRPr="00695693">
        <w:rPr>
          <w:rFonts w:ascii="Times New Roman" w:hAnsi="Times New Roman" w:cs="Times New Roman"/>
          <w:sz w:val="24"/>
          <w:szCs w:val="24"/>
        </w:rPr>
        <w:t xml:space="preserve">actuellement </w:t>
      </w:r>
      <w:r w:rsidR="00694424" w:rsidRPr="00695693">
        <w:rPr>
          <w:rFonts w:ascii="Times New Roman" w:hAnsi="Times New Roman" w:cs="Times New Roman"/>
          <w:sz w:val="24"/>
          <w:szCs w:val="24"/>
        </w:rPr>
        <w:t>beaucoup plus à des litiges en matière des droits de l’homme.</w:t>
      </w:r>
    </w:p>
    <w:p w:rsidR="00694424" w:rsidRPr="008159B8" w:rsidRDefault="00694424" w:rsidP="0037430F">
      <w:pPr>
        <w:pStyle w:val="Titre5"/>
      </w:pPr>
      <w:bookmarkStart w:id="106" w:name="_Toc518672839"/>
      <w:r w:rsidRPr="008159B8">
        <w:t>B. L’actuelle préoccupation de la Cour de Justice CEDEAO</w:t>
      </w:r>
      <w:bookmarkEnd w:id="106"/>
    </w:p>
    <w:p w:rsidR="00694424" w:rsidRPr="00695693" w:rsidRDefault="009366FF"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Le fait que la Cour de j</w:t>
      </w:r>
      <w:r w:rsidR="00694424" w:rsidRPr="00695693">
        <w:rPr>
          <w:rFonts w:ascii="Times New Roman" w:hAnsi="Times New Roman" w:cs="Times New Roman"/>
          <w:sz w:val="24"/>
          <w:szCs w:val="24"/>
        </w:rPr>
        <w:t>ustice de la CEDEAO n’a jamais été saisie d’un recours préjudiciel ne signifie pas qu’elle ne contribue pas à l’édification du droit</w:t>
      </w:r>
      <w:r w:rsidR="00020190" w:rsidRPr="00695693">
        <w:rPr>
          <w:rFonts w:ascii="Times New Roman" w:hAnsi="Times New Roman" w:cs="Times New Roman"/>
          <w:sz w:val="24"/>
          <w:szCs w:val="24"/>
        </w:rPr>
        <w:t xml:space="preserve"> de la communauté</w:t>
      </w:r>
      <w:r w:rsidR="00694424" w:rsidRPr="00695693">
        <w:rPr>
          <w:rFonts w:ascii="Times New Roman" w:hAnsi="Times New Roman" w:cs="Times New Roman"/>
          <w:sz w:val="24"/>
          <w:szCs w:val="24"/>
        </w:rPr>
        <w:t>. En effet, depuis sa création, la Cour n’a connu que des recours directs. Selon certaines informations</w:t>
      </w:r>
      <w:r w:rsidR="00694424" w:rsidRPr="00695693">
        <w:rPr>
          <w:rStyle w:val="Appelnotedebasdep"/>
          <w:rFonts w:ascii="Times New Roman" w:hAnsi="Times New Roman" w:cs="Times New Roman"/>
          <w:sz w:val="24"/>
          <w:szCs w:val="24"/>
        </w:rPr>
        <w:footnoteReference w:id="373"/>
      </w:r>
      <w:r w:rsidR="00694424" w:rsidRPr="00695693">
        <w:rPr>
          <w:rFonts w:ascii="Times New Roman" w:hAnsi="Times New Roman" w:cs="Times New Roman"/>
          <w:sz w:val="24"/>
          <w:szCs w:val="24"/>
        </w:rPr>
        <w:t xml:space="preserve">, la Cour a reçu </w:t>
      </w:r>
      <w:r w:rsidR="00020D2D">
        <w:rPr>
          <w:rFonts w:ascii="Times New Roman" w:hAnsi="Times New Roman" w:cs="Times New Roman"/>
          <w:sz w:val="24"/>
          <w:szCs w:val="24"/>
        </w:rPr>
        <w:t xml:space="preserve">en 2017 </w:t>
      </w:r>
      <w:r w:rsidR="00694424" w:rsidRPr="00695693">
        <w:rPr>
          <w:rFonts w:ascii="Times New Roman" w:hAnsi="Times New Roman" w:cs="Times New Roman"/>
          <w:sz w:val="24"/>
          <w:szCs w:val="24"/>
        </w:rPr>
        <w:t xml:space="preserve">deux cent quatre-vingt-sept affaires (287 Aff.), tenu sept cent quarante-quatre (744) Sessions et a rendu deux cent soixante décisions dont cent en exceptions préliminaires et quatre avis consultatifs. Parmi ces décisions, la plupart sont issues du contentieux des droits de l’homme. </w:t>
      </w:r>
      <w:r w:rsidR="00DE4DFE">
        <w:rPr>
          <w:rFonts w:ascii="Times New Roman" w:hAnsi="Times New Roman" w:cs="Times New Roman"/>
          <w:sz w:val="24"/>
          <w:szCs w:val="24"/>
        </w:rPr>
        <w:t xml:space="preserve">Autrement dit, </w:t>
      </w:r>
      <w:r w:rsidR="00694424" w:rsidRPr="00695693">
        <w:rPr>
          <w:rFonts w:ascii="Times New Roman" w:hAnsi="Times New Roman" w:cs="Times New Roman"/>
          <w:sz w:val="24"/>
          <w:szCs w:val="24"/>
        </w:rPr>
        <w:t>le contentieux des droits humains est aujourd’hui le terrain de prédilecti</w:t>
      </w:r>
      <w:r w:rsidRPr="00695693">
        <w:rPr>
          <w:rFonts w:ascii="Times New Roman" w:hAnsi="Times New Roman" w:cs="Times New Roman"/>
          <w:sz w:val="24"/>
          <w:szCs w:val="24"/>
        </w:rPr>
        <w:t>on de l’activité de la Cour de j</w:t>
      </w:r>
      <w:r w:rsidR="00694424" w:rsidRPr="00695693">
        <w:rPr>
          <w:rFonts w:ascii="Times New Roman" w:hAnsi="Times New Roman" w:cs="Times New Roman"/>
          <w:sz w:val="24"/>
          <w:szCs w:val="24"/>
        </w:rPr>
        <w:t xml:space="preserve">ustice de la Communauté. Cependant, l’attribution de cette compétence à la CJ/CEDEAO ne figurait pas à l’ordre du jour au moment de la mise en place de l’organisation communautaire. Il a fallu attendre les années </w:t>
      </w:r>
      <w:r w:rsidR="00D64EC6" w:rsidRPr="00695693">
        <w:rPr>
          <w:rFonts w:ascii="Times New Roman" w:hAnsi="Times New Roman" w:cs="Times New Roman"/>
          <w:sz w:val="24"/>
          <w:szCs w:val="24"/>
        </w:rPr>
        <w:t>19</w:t>
      </w:r>
      <w:r w:rsidR="00694424" w:rsidRPr="00695693">
        <w:rPr>
          <w:rFonts w:ascii="Times New Roman" w:hAnsi="Times New Roman" w:cs="Times New Roman"/>
          <w:sz w:val="24"/>
          <w:szCs w:val="24"/>
        </w:rPr>
        <w:t>90 pour que cette compétence soit une pré</w:t>
      </w:r>
      <w:r w:rsidR="00091890">
        <w:rPr>
          <w:rFonts w:ascii="Times New Roman" w:hAnsi="Times New Roman" w:cs="Times New Roman"/>
          <w:sz w:val="24"/>
          <w:szCs w:val="24"/>
        </w:rPr>
        <w:t>occupation du juge CEDEAO</w:t>
      </w:r>
      <w:r w:rsidR="00694424" w:rsidRPr="00695693">
        <w:rPr>
          <w:rStyle w:val="Appelnotedebasdep"/>
          <w:rFonts w:ascii="Times New Roman" w:hAnsi="Times New Roman" w:cs="Times New Roman"/>
          <w:sz w:val="24"/>
          <w:szCs w:val="24"/>
        </w:rPr>
        <w:footnoteReference w:id="374"/>
      </w:r>
      <w:r w:rsidR="00694424" w:rsidRPr="00695693">
        <w:rPr>
          <w:rFonts w:ascii="Times New Roman" w:hAnsi="Times New Roman" w:cs="Times New Roman"/>
          <w:sz w:val="24"/>
          <w:szCs w:val="24"/>
        </w:rPr>
        <w:t xml:space="preserve">. Elle </w:t>
      </w:r>
      <w:r w:rsidR="00D64EC6" w:rsidRPr="00695693">
        <w:rPr>
          <w:rFonts w:ascii="Times New Roman" w:hAnsi="Times New Roman" w:cs="Times New Roman"/>
          <w:sz w:val="24"/>
          <w:szCs w:val="24"/>
        </w:rPr>
        <w:t>n’est pas non plus sans encombre,</w:t>
      </w:r>
      <w:r w:rsidR="00694424" w:rsidRPr="00695693">
        <w:rPr>
          <w:rFonts w:ascii="Times New Roman" w:hAnsi="Times New Roman" w:cs="Times New Roman"/>
          <w:sz w:val="24"/>
          <w:szCs w:val="24"/>
        </w:rPr>
        <w:t xml:space="preserve"> étant donné qu’elle pourrait comporter un risque des divergences jurisprudentie</w:t>
      </w:r>
      <w:r w:rsidR="007E6150" w:rsidRPr="00695693">
        <w:rPr>
          <w:rFonts w:ascii="Times New Roman" w:hAnsi="Times New Roman" w:cs="Times New Roman"/>
          <w:sz w:val="24"/>
          <w:szCs w:val="24"/>
        </w:rPr>
        <w:t>lles avec la Cour africaine de j</w:t>
      </w:r>
      <w:r w:rsidR="00694424" w:rsidRPr="00695693">
        <w:rPr>
          <w:rFonts w:ascii="Times New Roman" w:hAnsi="Times New Roman" w:cs="Times New Roman"/>
          <w:sz w:val="24"/>
          <w:szCs w:val="24"/>
        </w:rPr>
        <w:t>ustice et des droits de l’homme (CAJDH)</w:t>
      </w:r>
      <w:r w:rsidR="00694424" w:rsidRPr="00695693">
        <w:rPr>
          <w:rStyle w:val="Appelnotedebasdep"/>
          <w:rFonts w:ascii="Times New Roman" w:hAnsi="Times New Roman" w:cs="Times New Roman"/>
          <w:sz w:val="24"/>
          <w:szCs w:val="24"/>
        </w:rPr>
        <w:footnoteReference w:id="375"/>
      </w:r>
      <w:r w:rsidR="00694424" w:rsidRPr="00695693">
        <w:rPr>
          <w:rStyle w:val="Appelnotedebasdep"/>
          <w:rFonts w:ascii="Times New Roman" w:hAnsi="Times New Roman" w:cs="Times New Roman"/>
          <w:sz w:val="24"/>
          <w:szCs w:val="24"/>
        </w:rPr>
        <w:footnoteReference w:id="376"/>
      </w:r>
      <w:r w:rsidR="00694424" w:rsidRPr="00695693">
        <w:rPr>
          <w:rFonts w:ascii="Times New Roman" w:hAnsi="Times New Roman" w:cs="Times New Roman"/>
          <w:sz w:val="24"/>
          <w:szCs w:val="24"/>
        </w:rPr>
        <w:t>.</w:t>
      </w:r>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lastRenderedPageBreak/>
        <w:t>Organe intégré de type juridictionnel conçu à l’origine pour la promotion de l’inté</w:t>
      </w:r>
      <w:r w:rsidR="009366FF" w:rsidRPr="00695693">
        <w:rPr>
          <w:rFonts w:ascii="Times New Roman" w:hAnsi="Times New Roman" w:cs="Times New Roman"/>
          <w:sz w:val="24"/>
          <w:szCs w:val="24"/>
        </w:rPr>
        <w:t>gration économique, la Cour de j</w:t>
      </w:r>
      <w:r w:rsidRPr="00695693">
        <w:rPr>
          <w:rFonts w:ascii="Times New Roman" w:hAnsi="Times New Roman" w:cs="Times New Roman"/>
          <w:sz w:val="24"/>
          <w:szCs w:val="24"/>
        </w:rPr>
        <w:t>ustice de la Communauté CEDEAO est aujourd’hui en train de devenir une juridiction des droits de l’homme : telle est alors son actuelle préoccupation. Cette préoccupation qui retient de nos jours l’attention de la Cour est en grande partie l’œuvre des individus, entendus comme personne physique et/ou morale</w:t>
      </w:r>
      <w:r w:rsidR="00D64EC6" w:rsidRPr="00695693">
        <w:rPr>
          <w:rFonts w:ascii="Times New Roman" w:hAnsi="Times New Roman" w:cs="Times New Roman"/>
          <w:sz w:val="24"/>
          <w:szCs w:val="24"/>
        </w:rPr>
        <w:t>,</w:t>
      </w:r>
      <w:r w:rsidRPr="00695693">
        <w:rPr>
          <w:rFonts w:ascii="Times New Roman" w:hAnsi="Times New Roman" w:cs="Times New Roman"/>
          <w:sz w:val="24"/>
          <w:szCs w:val="24"/>
        </w:rPr>
        <w:t xml:space="preserve"> même s’ils ne sont pas encore des véritables sujets de droit international</w:t>
      </w:r>
      <w:r w:rsidRPr="00695693">
        <w:rPr>
          <w:rStyle w:val="Appelnotedebasdep"/>
          <w:rFonts w:ascii="Times New Roman" w:hAnsi="Times New Roman" w:cs="Times New Roman"/>
          <w:sz w:val="24"/>
          <w:szCs w:val="24"/>
        </w:rPr>
        <w:footnoteReference w:id="377"/>
      </w:r>
      <w:r w:rsidRPr="00695693">
        <w:rPr>
          <w:rFonts w:ascii="Times New Roman" w:hAnsi="Times New Roman" w:cs="Times New Roman"/>
          <w:sz w:val="24"/>
          <w:szCs w:val="24"/>
        </w:rPr>
        <w:t xml:space="preserve">. C’est là une des particularités avec le recours en matière préjudiciel où l’initiative reste l’œuvre exclusive des </w:t>
      </w:r>
      <w:r w:rsidR="00486015">
        <w:rPr>
          <w:rFonts w:ascii="Times New Roman" w:hAnsi="Times New Roman" w:cs="Times New Roman"/>
          <w:sz w:val="24"/>
          <w:szCs w:val="24"/>
        </w:rPr>
        <w:t xml:space="preserve">juridictions </w:t>
      </w:r>
      <w:r w:rsidRPr="00695693">
        <w:rPr>
          <w:rFonts w:ascii="Times New Roman" w:hAnsi="Times New Roman" w:cs="Times New Roman"/>
          <w:sz w:val="24"/>
          <w:szCs w:val="24"/>
        </w:rPr>
        <w:t>nationales et que les parties n’ont qu’un rôle marginal</w:t>
      </w:r>
      <w:r w:rsidRPr="00695693">
        <w:rPr>
          <w:rStyle w:val="Appelnotedebasdep"/>
          <w:rFonts w:ascii="Times New Roman" w:hAnsi="Times New Roman" w:cs="Times New Roman"/>
          <w:sz w:val="24"/>
          <w:szCs w:val="24"/>
        </w:rPr>
        <w:footnoteReference w:id="378"/>
      </w:r>
      <w:r w:rsidRPr="00695693">
        <w:rPr>
          <w:rFonts w:ascii="Times New Roman" w:hAnsi="Times New Roman" w:cs="Times New Roman"/>
          <w:sz w:val="24"/>
          <w:szCs w:val="24"/>
        </w:rPr>
        <w:t>. En effet, si les parties en litige en matière préjudiciel</w:t>
      </w:r>
      <w:r w:rsidR="009F30C8" w:rsidRPr="00695693">
        <w:rPr>
          <w:rFonts w:ascii="Times New Roman" w:hAnsi="Times New Roman" w:cs="Times New Roman"/>
          <w:sz w:val="24"/>
          <w:szCs w:val="24"/>
        </w:rPr>
        <w:t>le</w:t>
      </w:r>
      <w:r w:rsidRPr="00695693">
        <w:rPr>
          <w:rFonts w:ascii="Times New Roman" w:hAnsi="Times New Roman" w:cs="Times New Roman"/>
          <w:sz w:val="24"/>
          <w:szCs w:val="24"/>
        </w:rPr>
        <w:t xml:space="preserve"> n’ont pas un accès direct au prétoire du juge communautaire, il n’en va pas de même en matière du recours des droits fondamentaux. Dans ce dernier cas, depuis l’adopt</w:t>
      </w:r>
      <w:r w:rsidR="007E6150" w:rsidRPr="00695693">
        <w:rPr>
          <w:rFonts w:ascii="Times New Roman" w:hAnsi="Times New Roman" w:cs="Times New Roman"/>
          <w:sz w:val="24"/>
          <w:szCs w:val="24"/>
        </w:rPr>
        <w:t>ion du Protocole d’Accra du 19 j</w:t>
      </w:r>
      <w:r w:rsidRPr="00695693">
        <w:rPr>
          <w:rFonts w:ascii="Times New Roman" w:hAnsi="Times New Roman" w:cs="Times New Roman"/>
          <w:sz w:val="24"/>
          <w:szCs w:val="24"/>
        </w:rPr>
        <w:t>anvier 2005, les individus victimes de violations des droits humains peuvent</w:t>
      </w:r>
      <w:r w:rsidR="00CA66CF" w:rsidRPr="00695693">
        <w:rPr>
          <w:rFonts w:ascii="Times New Roman" w:hAnsi="Times New Roman" w:cs="Times New Roman"/>
          <w:sz w:val="24"/>
          <w:szCs w:val="24"/>
        </w:rPr>
        <w:t xml:space="preserve"> directement saisir la Cour de j</w:t>
      </w:r>
      <w:r w:rsidRPr="00695693">
        <w:rPr>
          <w:rFonts w:ascii="Times New Roman" w:hAnsi="Times New Roman" w:cs="Times New Roman"/>
          <w:sz w:val="24"/>
          <w:szCs w:val="24"/>
        </w:rPr>
        <w:t>ustice pourvu que la demande à cet effet ne soit ni anonyme ni portée devant une autre juridiction internationale compétente</w:t>
      </w:r>
      <w:r w:rsidRPr="00695693">
        <w:rPr>
          <w:rStyle w:val="Appelnotedebasdep"/>
          <w:rFonts w:ascii="Times New Roman" w:hAnsi="Times New Roman" w:cs="Times New Roman"/>
          <w:sz w:val="24"/>
          <w:szCs w:val="24"/>
        </w:rPr>
        <w:footnoteReference w:id="379"/>
      </w:r>
      <w:r w:rsidRPr="00695693">
        <w:rPr>
          <w:rFonts w:ascii="Times New Roman" w:hAnsi="Times New Roman" w:cs="Times New Roman"/>
          <w:sz w:val="24"/>
          <w:szCs w:val="24"/>
        </w:rPr>
        <w:t>.</w:t>
      </w:r>
    </w:p>
    <w:p w:rsidR="001A4F33"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Toutefois, étant donné que le mécanisme du renvoi préjudiciel pourrait assurer la protection des individus</w:t>
      </w:r>
      <w:r w:rsidRPr="00695693">
        <w:rPr>
          <w:rStyle w:val="Appelnotedebasdep"/>
          <w:rFonts w:ascii="Times New Roman" w:hAnsi="Times New Roman" w:cs="Times New Roman"/>
          <w:sz w:val="24"/>
          <w:szCs w:val="24"/>
        </w:rPr>
        <w:footnoteReference w:id="380"/>
      </w:r>
      <w:r w:rsidRPr="00695693">
        <w:rPr>
          <w:rFonts w:ascii="Times New Roman" w:hAnsi="Times New Roman" w:cs="Times New Roman"/>
          <w:sz w:val="24"/>
          <w:szCs w:val="24"/>
        </w:rPr>
        <w:t>, il aurait été indiqué de permettre aux individus un droit de saisine directe devant le prétoire de la Cour. Cependant, ce droit de saisine pourrait être subordonné au refus du juge national contrairement au recours en matière des droits de l’homme où la règle de l’épuisement des voies de recours internes, qui suppose l’attraction d’un Etat devant une juridiction internationale après avoir épuisé tous les recours disponibles au plan interne</w:t>
      </w:r>
      <w:r w:rsidRPr="00695693">
        <w:rPr>
          <w:rStyle w:val="Appelnotedebasdep"/>
          <w:rFonts w:ascii="Times New Roman" w:hAnsi="Times New Roman" w:cs="Times New Roman"/>
          <w:sz w:val="24"/>
          <w:szCs w:val="24"/>
        </w:rPr>
        <w:footnoteReference w:id="381"/>
      </w:r>
      <w:r w:rsidRPr="00695693">
        <w:rPr>
          <w:rFonts w:ascii="Times New Roman" w:hAnsi="Times New Roman" w:cs="Times New Roman"/>
          <w:sz w:val="24"/>
          <w:szCs w:val="24"/>
        </w:rPr>
        <w:t>, n’est pas une condition préalable de saisine de la Cour</w:t>
      </w:r>
      <w:r w:rsidR="009F30C8" w:rsidRPr="00695693">
        <w:rPr>
          <w:rStyle w:val="Appelnotedebasdep"/>
          <w:rFonts w:ascii="Times New Roman" w:hAnsi="Times New Roman" w:cs="Times New Roman"/>
          <w:sz w:val="24"/>
          <w:szCs w:val="24"/>
        </w:rPr>
        <w:footnoteReference w:id="382"/>
      </w:r>
      <w:r w:rsidRPr="00695693">
        <w:rPr>
          <w:rFonts w:ascii="Times New Roman" w:hAnsi="Times New Roman" w:cs="Times New Roman"/>
          <w:sz w:val="24"/>
          <w:szCs w:val="24"/>
        </w:rPr>
        <w:t xml:space="preserve">. </w:t>
      </w:r>
    </w:p>
    <w:p w:rsidR="0004670F" w:rsidRPr="00695693" w:rsidRDefault="0004670F" w:rsidP="00695693">
      <w:pPr>
        <w:spacing w:line="360" w:lineRule="auto"/>
        <w:jc w:val="both"/>
        <w:rPr>
          <w:rFonts w:ascii="Times New Roman" w:hAnsi="Times New Roman" w:cs="Times New Roman"/>
          <w:sz w:val="24"/>
          <w:szCs w:val="24"/>
        </w:rPr>
      </w:pPr>
    </w:p>
    <w:p w:rsidR="00496234" w:rsidRDefault="00496234" w:rsidP="00695693">
      <w:pPr>
        <w:spacing w:line="360" w:lineRule="auto"/>
        <w:jc w:val="both"/>
        <w:rPr>
          <w:rFonts w:ascii="Times New Roman" w:hAnsi="Times New Roman" w:cs="Times New Roman"/>
          <w:b/>
          <w:sz w:val="24"/>
          <w:szCs w:val="24"/>
        </w:rPr>
      </w:pPr>
    </w:p>
    <w:p w:rsidR="00036959" w:rsidRPr="00E97FED" w:rsidRDefault="00694424" w:rsidP="00414AB8">
      <w:pPr>
        <w:pStyle w:val="Titre1"/>
      </w:pPr>
      <w:bookmarkStart w:id="107" w:name="_Toc515108237"/>
      <w:bookmarkStart w:id="108" w:name="_Toc518671718"/>
      <w:bookmarkStart w:id="109" w:name="_Toc518672840"/>
      <w:r w:rsidRPr="00111EDB">
        <w:t>C</w:t>
      </w:r>
      <w:r w:rsidR="00E57809" w:rsidRPr="00111EDB">
        <w:t>ONCLUSION DU TITRE</w:t>
      </w:r>
      <w:r w:rsidR="00036959" w:rsidRPr="00111EDB">
        <w:t xml:space="preserve"> II</w:t>
      </w:r>
      <w:bookmarkEnd w:id="107"/>
      <w:bookmarkEnd w:id="108"/>
      <w:bookmarkEnd w:id="109"/>
    </w:p>
    <w:p w:rsidR="00A67210" w:rsidRPr="00A67210" w:rsidRDefault="00A67210" w:rsidP="00A67210"/>
    <w:p w:rsidR="00694424" w:rsidRPr="00695693" w:rsidRDefault="00333B02" w:rsidP="00695693">
      <w:pPr>
        <w:spacing w:line="360" w:lineRule="auto"/>
        <w:jc w:val="both"/>
        <w:rPr>
          <w:rFonts w:ascii="Times New Roman" w:hAnsi="Times New Roman" w:cs="Times New Roman"/>
          <w:sz w:val="24"/>
          <w:szCs w:val="24"/>
        </w:rPr>
      </w:pPr>
      <w:r w:rsidRPr="00333B02">
        <w:rPr>
          <w:rFonts w:ascii="Times New Roman" w:hAnsi="Times New Roman" w:cs="Times New Roman"/>
          <w:sz w:val="24"/>
          <w:szCs w:val="24"/>
        </w:rPr>
        <w:t xml:space="preserve">A la suite de </w:t>
      </w:r>
      <w:r w:rsidR="00694424" w:rsidRPr="00695693">
        <w:rPr>
          <w:rFonts w:ascii="Times New Roman" w:hAnsi="Times New Roman" w:cs="Times New Roman"/>
          <w:sz w:val="24"/>
          <w:szCs w:val="24"/>
        </w:rPr>
        <w:t xml:space="preserve">cette partie de notre travail, il ressort que la mise en œuvre du mécanisme de renvoi préjudiciel en droit CEDEAO est loin d’être effective ; faute de son exploitation concrète. Ainsi, deux raisons principales expliquent </w:t>
      </w:r>
      <w:r w:rsidR="00194FC9" w:rsidRPr="00695693">
        <w:rPr>
          <w:rFonts w:ascii="Times New Roman" w:hAnsi="Times New Roman" w:cs="Times New Roman"/>
          <w:sz w:val="24"/>
          <w:szCs w:val="24"/>
        </w:rPr>
        <w:t xml:space="preserve">l’ineffectivité </w:t>
      </w:r>
      <w:r w:rsidR="00694424" w:rsidRPr="00695693">
        <w:rPr>
          <w:rFonts w:ascii="Times New Roman" w:hAnsi="Times New Roman" w:cs="Times New Roman"/>
          <w:sz w:val="24"/>
          <w:szCs w:val="24"/>
        </w:rPr>
        <w:t>dudit mécanisme. Il s’agit d’une part des difficultés procédurales et d’autre part des difficultés matérielles.</w:t>
      </w:r>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S’agissant des difficultés procédurales, elles renvoient aux différentes marges de manœuvre reconnu</w:t>
      </w:r>
      <w:r w:rsidR="00925034" w:rsidRPr="00695693">
        <w:rPr>
          <w:rFonts w:ascii="Times New Roman" w:hAnsi="Times New Roman" w:cs="Times New Roman"/>
          <w:sz w:val="24"/>
          <w:szCs w:val="24"/>
        </w:rPr>
        <w:t>es</w:t>
      </w:r>
      <w:r w:rsidRPr="00695693">
        <w:rPr>
          <w:rFonts w:ascii="Times New Roman" w:hAnsi="Times New Roman" w:cs="Times New Roman"/>
          <w:sz w:val="24"/>
          <w:szCs w:val="24"/>
        </w:rPr>
        <w:t xml:space="preserve"> à la fois aux juridictions nationales des Etats membres pour l’exercice du recou</w:t>
      </w:r>
      <w:r w:rsidR="00CA66CF" w:rsidRPr="00695693">
        <w:rPr>
          <w:rFonts w:ascii="Times New Roman" w:hAnsi="Times New Roman" w:cs="Times New Roman"/>
          <w:sz w:val="24"/>
          <w:szCs w:val="24"/>
        </w:rPr>
        <w:t>rs préjudiciel et à la Cour de j</w:t>
      </w:r>
      <w:r w:rsidRPr="00695693">
        <w:rPr>
          <w:rFonts w:ascii="Times New Roman" w:hAnsi="Times New Roman" w:cs="Times New Roman"/>
          <w:sz w:val="24"/>
          <w:szCs w:val="24"/>
        </w:rPr>
        <w:t>ustice communautaire pour la recevabilité et l’examen de la question p</w:t>
      </w:r>
      <w:r w:rsidR="00CA66CF" w:rsidRPr="00695693">
        <w:rPr>
          <w:rFonts w:ascii="Times New Roman" w:hAnsi="Times New Roman" w:cs="Times New Roman"/>
          <w:sz w:val="24"/>
          <w:szCs w:val="24"/>
        </w:rPr>
        <w:t>réjudicielle qui lui est déférée</w:t>
      </w:r>
      <w:r w:rsidRPr="00695693">
        <w:rPr>
          <w:rFonts w:ascii="Times New Roman" w:hAnsi="Times New Roman" w:cs="Times New Roman"/>
          <w:sz w:val="24"/>
          <w:szCs w:val="24"/>
        </w:rPr>
        <w:t>. Dans l’un comme dans l’autre cas, ces difficultés visent à réduire ou économiser</w:t>
      </w:r>
      <w:r w:rsidRPr="00695693">
        <w:rPr>
          <w:rStyle w:val="Appelnotedebasdep"/>
          <w:rFonts w:ascii="Times New Roman" w:hAnsi="Times New Roman" w:cs="Times New Roman"/>
          <w:sz w:val="24"/>
          <w:szCs w:val="24"/>
        </w:rPr>
        <w:footnoteReference w:id="383"/>
      </w:r>
      <w:r w:rsidRPr="00695693">
        <w:rPr>
          <w:rFonts w:ascii="Times New Roman" w:hAnsi="Times New Roman" w:cs="Times New Roman"/>
          <w:sz w:val="24"/>
          <w:szCs w:val="24"/>
        </w:rPr>
        <w:t xml:space="preserve"> voire anéantir</w:t>
      </w:r>
      <w:r w:rsidRPr="00695693">
        <w:rPr>
          <w:rStyle w:val="Appelnotedebasdep"/>
          <w:rFonts w:ascii="Times New Roman" w:hAnsi="Times New Roman" w:cs="Times New Roman"/>
          <w:sz w:val="24"/>
          <w:szCs w:val="24"/>
        </w:rPr>
        <w:footnoteReference w:id="384"/>
      </w:r>
      <w:r w:rsidRPr="00695693">
        <w:rPr>
          <w:rFonts w:ascii="Times New Roman" w:hAnsi="Times New Roman" w:cs="Times New Roman"/>
          <w:sz w:val="24"/>
          <w:szCs w:val="24"/>
        </w:rPr>
        <w:t xml:space="preserve"> le recours au</w:t>
      </w:r>
      <w:r w:rsidR="005E1DD8">
        <w:rPr>
          <w:rFonts w:ascii="Times New Roman" w:hAnsi="Times New Roman" w:cs="Times New Roman"/>
          <w:sz w:val="24"/>
          <w:szCs w:val="24"/>
        </w:rPr>
        <w:t xml:space="preserve"> mécanisme de</w:t>
      </w:r>
      <w:r w:rsidRPr="00695693">
        <w:rPr>
          <w:rFonts w:ascii="Times New Roman" w:hAnsi="Times New Roman" w:cs="Times New Roman"/>
          <w:sz w:val="24"/>
          <w:szCs w:val="24"/>
        </w:rPr>
        <w:t xml:space="preserve"> renvoi préjudiciel. Cependant, ces difficultés se rencontrent beaucoup plus dans le système communautaire européen que dans celui de la CEDEAO et de l’UEMOA.</w:t>
      </w:r>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S’agissant des difficultés matérielles, </w:t>
      </w:r>
      <w:r w:rsidR="00194FC9" w:rsidRPr="00695693">
        <w:rPr>
          <w:rFonts w:ascii="Times New Roman" w:hAnsi="Times New Roman" w:cs="Times New Roman"/>
          <w:sz w:val="24"/>
          <w:szCs w:val="24"/>
        </w:rPr>
        <w:t xml:space="preserve">elles </w:t>
      </w:r>
      <w:r w:rsidRPr="00695693">
        <w:rPr>
          <w:rFonts w:ascii="Times New Roman" w:hAnsi="Times New Roman" w:cs="Times New Roman"/>
          <w:sz w:val="24"/>
          <w:szCs w:val="24"/>
        </w:rPr>
        <w:t xml:space="preserve">sont l’apanage du système communautaire Ouest-Africain et particulièrement celui de la CEDEAO. Elles visent à anéantir essentiellement le recours au mécanisme du renvoi préjudiciel. Elles émanent à la fois des juridictions nationales des Etats membres et de la législation CEDEAO. Pour ce qui est des instances nationales, l’anéantissement du renvoi préjudiciel est dû surtout à la méconnaissance </w:t>
      </w:r>
      <w:r w:rsidR="00194FC9" w:rsidRPr="00695693">
        <w:rPr>
          <w:rFonts w:ascii="Times New Roman" w:hAnsi="Times New Roman" w:cs="Times New Roman"/>
          <w:sz w:val="24"/>
          <w:szCs w:val="24"/>
        </w:rPr>
        <w:t>du droit CEDEAO par les citoyens communautaires</w:t>
      </w:r>
      <w:r w:rsidR="0009608A" w:rsidRPr="00695693">
        <w:rPr>
          <w:rFonts w:ascii="Times New Roman" w:hAnsi="Times New Roman" w:cs="Times New Roman"/>
          <w:sz w:val="24"/>
          <w:szCs w:val="24"/>
        </w:rPr>
        <w:t>,</w:t>
      </w:r>
      <w:r w:rsidRPr="00695693">
        <w:rPr>
          <w:rFonts w:ascii="Times New Roman" w:hAnsi="Times New Roman" w:cs="Times New Roman"/>
          <w:sz w:val="24"/>
          <w:szCs w:val="24"/>
        </w:rPr>
        <w:t xml:space="preserve"> qui est un droit émergent et multidisciplinaire. Pour ce qui est de la législation CEDEAO, l’anéantissement du renvoi préjudiciel est dû surtout </w:t>
      </w:r>
      <w:r w:rsidR="00194FC9" w:rsidRPr="00695693">
        <w:rPr>
          <w:rFonts w:ascii="Times New Roman" w:hAnsi="Times New Roman" w:cs="Times New Roman"/>
          <w:sz w:val="24"/>
          <w:szCs w:val="24"/>
        </w:rPr>
        <w:t xml:space="preserve">à la </w:t>
      </w:r>
      <w:r w:rsidRPr="00695693">
        <w:rPr>
          <w:rFonts w:ascii="Times New Roman" w:hAnsi="Times New Roman" w:cs="Times New Roman"/>
          <w:sz w:val="24"/>
          <w:szCs w:val="24"/>
        </w:rPr>
        <w:t>laxité du législateur CEDEAO qui soumet absolument l’exercice du renvoi préjudiciel à la libre appréciation des juges nationaux des Etats membres et qui n’institue pas des sanctions particulières en cas de non exercice de cette procédure.</w:t>
      </w:r>
    </w:p>
    <w:p w:rsidR="00D962FE" w:rsidRPr="00B36746" w:rsidRDefault="00D962FE" w:rsidP="00B36746">
      <w:bookmarkStart w:id="110" w:name="_Toc515108238"/>
    </w:p>
    <w:p w:rsidR="00E57809" w:rsidRDefault="00E57809" w:rsidP="00414AB8">
      <w:pPr>
        <w:pStyle w:val="Titre1"/>
      </w:pPr>
      <w:bookmarkStart w:id="111" w:name="_Toc518671719"/>
      <w:bookmarkStart w:id="112" w:name="_Toc518672841"/>
      <w:r w:rsidRPr="00111EDB">
        <w:t>CONCLUSION GENERALE</w:t>
      </w:r>
      <w:bookmarkEnd w:id="110"/>
      <w:bookmarkEnd w:id="111"/>
      <w:bookmarkEnd w:id="112"/>
    </w:p>
    <w:p w:rsidR="00451175" w:rsidRPr="00451175" w:rsidRDefault="00451175" w:rsidP="00451175"/>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Il ressort de tous les développements précédents que la mise en œuvre du renvoi préjudiciel en droit CEDEAO n’est que théoriquement effective ; mais pratiquement ineffective faute de son exploitation concrète. Du point de vue théorique, il faut dire qu’en </w:t>
      </w:r>
      <w:r w:rsidR="0041678B" w:rsidRPr="00695693">
        <w:rPr>
          <w:rFonts w:ascii="Times New Roman" w:hAnsi="Times New Roman" w:cs="Times New Roman"/>
          <w:sz w:val="24"/>
          <w:szCs w:val="24"/>
        </w:rPr>
        <w:t>instituant la procédure de</w:t>
      </w:r>
      <w:r w:rsidRPr="00695693">
        <w:rPr>
          <w:rFonts w:ascii="Times New Roman" w:hAnsi="Times New Roman" w:cs="Times New Roman"/>
          <w:sz w:val="24"/>
          <w:szCs w:val="24"/>
        </w:rPr>
        <w:t xml:space="preserve"> renvoi préjudiciel dans les termes de l’article 10</w:t>
      </w:r>
      <w:r w:rsidR="007E6150" w:rsidRPr="00695693">
        <w:rPr>
          <w:rFonts w:ascii="Times New Roman" w:hAnsi="Times New Roman" w:cs="Times New Roman"/>
          <w:sz w:val="24"/>
          <w:szCs w:val="24"/>
        </w:rPr>
        <w:t>, f du Protocole d’Accra du 19 j</w:t>
      </w:r>
      <w:r w:rsidRPr="00695693">
        <w:rPr>
          <w:rFonts w:ascii="Times New Roman" w:hAnsi="Times New Roman" w:cs="Times New Roman"/>
          <w:sz w:val="24"/>
          <w:szCs w:val="24"/>
        </w:rPr>
        <w:t>anvier 2005, le législateur CEDEAO a volontairement inséré dans le champ d’application de ce</w:t>
      </w:r>
      <w:r w:rsidR="00EC1680" w:rsidRPr="00695693">
        <w:rPr>
          <w:rFonts w:ascii="Times New Roman" w:hAnsi="Times New Roman" w:cs="Times New Roman"/>
          <w:sz w:val="24"/>
          <w:szCs w:val="24"/>
        </w:rPr>
        <w:t>tte procédure</w:t>
      </w:r>
      <w:r w:rsidRPr="00695693">
        <w:rPr>
          <w:rFonts w:ascii="Times New Roman" w:hAnsi="Times New Roman" w:cs="Times New Roman"/>
          <w:sz w:val="24"/>
          <w:szCs w:val="24"/>
        </w:rPr>
        <w:t xml:space="preserve"> à la fois toutes les normes du droit communautaire originaire</w:t>
      </w:r>
      <w:r w:rsidRPr="00695693">
        <w:rPr>
          <w:rStyle w:val="Appelnotedebasdep"/>
          <w:rFonts w:ascii="Times New Roman" w:hAnsi="Times New Roman" w:cs="Times New Roman"/>
          <w:sz w:val="24"/>
          <w:szCs w:val="24"/>
        </w:rPr>
        <w:footnoteReference w:id="385"/>
      </w:r>
      <w:r w:rsidRPr="00695693">
        <w:rPr>
          <w:rFonts w:ascii="Times New Roman" w:hAnsi="Times New Roman" w:cs="Times New Roman"/>
          <w:sz w:val="24"/>
          <w:szCs w:val="24"/>
        </w:rPr>
        <w:t xml:space="preserve"> et toutes les normes du droit communautaire dérivé</w:t>
      </w:r>
      <w:r w:rsidRPr="00695693">
        <w:rPr>
          <w:rStyle w:val="Appelnotedebasdep"/>
          <w:rFonts w:ascii="Times New Roman" w:hAnsi="Times New Roman" w:cs="Times New Roman"/>
          <w:sz w:val="24"/>
          <w:szCs w:val="24"/>
        </w:rPr>
        <w:footnoteReference w:id="386"/>
      </w:r>
      <w:r w:rsidRPr="00695693">
        <w:rPr>
          <w:rFonts w:ascii="Times New Roman" w:hAnsi="Times New Roman" w:cs="Times New Roman"/>
          <w:sz w:val="24"/>
          <w:szCs w:val="24"/>
        </w:rPr>
        <w:t>. Il a ensuite prévu dans le même temps les protagonistes de ce mécanisme préjudiciel</w:t>
      </w:r>
      <w:r w:rsidR="004D2E24">
        <w:rPr>
          <w:rFonts w:ascii="Times New Roman" w:hAnsi="Times New Roman" w:cs="Times New Roman"/>
          <w:sz w:val="24"/>
          <w:szCs w:val="24"/>
        </w:rPr>
        <w:t>,</w:t>
      </w:r>
      <w:r w:rsidRPr="00695693">
        <w:rPr>
          <w:rFonts w:ascii="Times New Roman" w:hAnsi="Times New Roman" w:cs="Times New Roman"/>
          <w:sz w:val="24"/>
          <w:szCs w:val="24"/>
        </w:rPr>
        <w:t xml:space="preserve"> c’est-à-dire les </w:t>
      </w:r>
      <w:r w:rsidR="0003299A">
        <w:rPr>
          <w:rFonts w:ascii="Times New Roman" w:hAnsi="Times New Roman" w:cs="Times New Roman"/>
          <w:sz w:val="24"/>
          <w:szCs w:val="24"/>
        </w:rPr>
        <w:t xml:space="preserve">organes </w:t>
      </w:r>
      <w:r w:rsidRPr="00695693">
        <w:rPr>
          <w:rFonts w:ascii="Times New Roman" w:hAnsi="Times New Roman" w:cs="Times New Roman"/>
          <w:sz w:val="24"/>
          <w:szCs w:val="24"/>
        </w:rPr>
        <w:t>qui doivent intervenir dans la mise en œuvre de la procédure préjudicielle. Sur ce p</w:t>
      </w:r>
      <w:r w:rsidR="00CD4216" w:rsidRPr="00695693">
        <w:rPr>
          <w:rFonts w:ascii="Times New Roman" w:hAnsi="Times New Roman" w:cs="Times New Roman"/>
          <w:sz w:val="24"/>
          <w:szCs w:val="24"/>
        </w:rPr>
        <w:t xml:space="preserve">oint, la lecture de </w:t>
      </w:r>
      <w:r w:rsidRPr="00695693">
        <w:rPr>
          <w:rFonts w:ascii="Times New Roman" w:hAnsi="Times New Roman" w:cs="Times New Roman"/>
          <w:sz w:val="24"/>
          <w:szCs w:val="24"/>
        </w:rPr>
        <w:t>l’article 10, f du Protocole précité ne laisse qu’apparaitre essentiellement les juridictions nationales des Etats parties à la C</w:t>
      </w:r>
      <w:r w:rsidR="00B07697" w:rsidRPr="00695693">
        <w:rPr>
          <w:rFonts w:ascii="Times New Roman" w:hAnsi="Times New Roman" w:cs="Times New Roman"/>
          <w:sz w:val="24"/>
          <w:szCs w:val="24"/>
        </w:rPr>
        <w:t>ommunauté CEDEAO et la Cour de j</w:t>
      </w:r>
      <w:r w:rsidRPr="00695693">
        <w:rPr>
          <w:rFonts w:ascii="Times New Roman" w:hAnsi="Times New Roman" w:cs="Times New Roman"/>
          <w:sz w:val="24"/>
          <w:szCs w:val="24"/>
        </w:rPr>
        <w:t>ustice de la Communauté.</w:t>
      </w:r>
      <w:r w:rsidR="00EC1680" w:rsidRPr="00695693">
        <w:rPr>
          <w:rFonts w:ascii="Times New Roman" w:hAnsi="Times New Roman" w:cs="Times New Roman"/>
          <w:sz w:val="24"/>
          <w:szCs w:val="24"/>
        </w:rPr>
        <w:t xml:space="preserve"> Aussi, la volonté du législateur CEDEAO n’est pas à l’encontre de la soumission de l’exercice de la procédure préjudicielle à la réunion des conditions générales</w:t>
      </w:r>
      <w:r w:rsidR="00EC1680" w:rsidRPr="00695693">
        <w:rPr>
          <w:rStyle w:val="Appelnotedebasdep"/>
          <w:rFonts w:ascii="Times New Roman" w:hAnsi="Times New Roman" w:cs="Times New Roman"/>
          <w:sz w:val="24"/>
          <w:szCs w:val="24"/>
        </w:rPr>
        <w:footnoteReference w:id="387"/>
      </w:r>
      <w:r w:rsidR="00EC1680" w:rsidRPr="00695693">
        <w:rPr>
          <w:rFonts w:ascii="Times New Roman" w:hAnsi="Times New Roman" w:cs="Times New Roman"/>
          <w:sz w:val="24"/>
          <w:szCs w:val="24"/>
        </w:rPr>
        <w:t xml:space="preserve"> lors de l’instance préjudicielle.</w:t>
      </w:r>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Cependant, malgré l’existence de ces instruments et mécanismes de mise en œuvre dudit renvoi, l’on constate, du point de vue pratique, une absence totale du recours préjudiciel devant le prétoire du juge CEDEAO. Cette inexistence totale du recours préjudiciel en </w:t>
      </w:r>
      <w:r w:rsidR="00FB6FF9" w:rsidRPr="00695693">
        <w:rPr>
          <w:rFonts w:ascii="Times New Roman" w:hAnsi="Times New Roman" w:cs="Times New Roman"/>
          <w:sz w:val="24"/>
          <w:szCs w:val="24"/>
        </w:rPr>
        <w:t>droit CEDEAO est certainement du</w:t>
      </w:r>
      <w:r w:rsidRPr="00695693">
        <w:rPr>
          <w:rFonts w:ascii="Times New Roman" w:hAnsi="Times New Roman" w:cs="Times New Roman"/>
          <w:sz w:val="24"/>
          <w:szCs w:val="24"/>
        </w:rPr>
        <w:t>e à plusieurs obstacles dont les plus répandus sont pour l’essentiel d’ordre matériels. Il s’agit de la méconnaissance ou de l’ignorance du droit CEDEAO par les juges nationaux des Etats membres et par les citoyens de l’espace CEDEAO. Il s’agit aussi du laxisme du législateur CEDEAO qui a soumis absolument l’exercice du renvoi préjudiciel au bon vouloir des juges nationaux et qui n’a pas prévu des sanctions spécifiques en cas de leur refus au renvoi. C’est ainsi alors, pour que la mise en œuvre du renvoi préjudiciel soit véritablement effective en droit CEDEAO, il serait préférable à la fois pour le législateur CEDEAO et pour les Etats membres d’avoir une vision autre que celle en cours au niveau national et au niveau communautaire.</w:t>
      </w:r>
    </w:p>
    <w:p w:rsidR="0069442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lastRenderedPageBreak/>
        <w:t>Au niveau national, il serait d’abord souhaitable pour chacun des Etats membres de créer les conditions favorables permettant à ses citoyens de connaitre le droit CEDEAO, notamment en assurant la promulgation et la diffusion des text</w:t>
      </w:r>
      <w:r w:rsidR="00407C8B">
        <w:rPr>
          <w:rFonts w:ascii="Times New Roman" w:hAnsi="Times New Roman" w:cs="Times New Roman"/>
          <w:sz w:val="24"/>
          <w:szCs w:val="24"/>
        </w:rPr>
        <w:t>es législatifs et r</w:t>
      </w:r>
      <w:r w:rsidRPr="00695693">
        <w:rPr>
          <w:rFonts w:ascii="Times New Roman" w:hAnsi="Times New Roman" w:cs="Times New Roman"/>
          <w:sz w:val="24"/>
          <w:szCs w:val="24"/>
        </w:rPr>
        <w:t xml:space="preserve">èglementaires nécessaires à l’application de ce droit et en mettant en place des stratégies de sensibilisation et de mobilisation des populations à l’appropriation de l’ensemble du processus d’intégration. Il ne serait ensuite pas vain d’intégrer le droit CEDEAO parmi les matières à enseigner dans les écoles nationales de la magistrature ou encore de propager l’enseignement de cette discipline dans toutes les facultés universitaires nationales et non seulement à la faculté de droit. Enfin, il ne serait pas inutile pour les Etats membres de mettre en place une instance chargée de connaitre du refus de renvoi des juridictions suprêmes, en vue de renforcer la protection juridictionnelle des particuliers qui pourraient directement agir devant ladite instance dès que la juridiction </w:t>
      </w:r>
      <w:r w:rsidR="003D5BA9">
        <w:rPr>
          <w:rFonts w:ascii="Times New Roman" w:hAnsi="Times New Roman" w:cs="Times New Roman"/>
          <w:sz w:val="24"/>
          <w:szCs w:val="24"/>
        </w:rPr>
        <w:t xml:space="preserve">nationale </w:t>
      </w:r>
      <w:r w:rsidRPr="00695693">
        <w:rPr>
          <w:rFonts w:ascii="Times New Roman" w:hAnsi="Times New Roman" w:cs="Times New Roman"/>
          <w:sz w:val="24"/>
          <w:szCs w:val="24"/>
        </w:rPr>
        <w:t>suprême refuse de renvoyer.</w:t>
      </w:r>
    </w:p>
    <w:p w:rsidR="00685554" w:rsidRPr="00695693" w:rsidRDefault="00694424" w:rsidP="00695693">
      <w:pPr>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Au niveau communautaire, il serait d’abord souhaitable pour le législateur CEDEAO d’instituer un centre communautaire de formation continue pour les Magistrats des Etats membres de la CEDEAO à l’image de l’ERSUMA en droit OHADA et du centre des études européennes à Trèves en droit communautaire de l’Union européenne. L’intérêt de l’existence de ce centre consisterait à l’organisation annuelle ou semestrielle des sessions de formation ou d’apprentissage en droit communautaire CEDEAO en vue de permettre aux juges nationaux de confronter leurs expériences et leurs difficultés dans l’application du droit CEDEAO. Il serait ensuite préférable pour le législateur</w:t>
      </w:r>
      <w:r w:rsidR="00390678" w:rsidRPr="00695693">
        <w:rPr>
          <w:rFonts w:ascii="Times New Roman" w:hAnsi="Times New Roman" w:cs="Times New Roman"/>
          <w:sz w:val="24"/>
          <w:szCs w:val="24"/>
        </w:rPr>
        <w:t xml:space="preserve"> CEDEAO d’emboiter le pas de ses</w:t>
      </w:r>
      <w:r w:rsidRPr="00695693">
        <w:rPr>
          <w:rFonts w:ascii="Times New Roman" w:hAnsi="Times New Roman" w:cs="Times New Roman"/>
          <w:sz w:val="24"/>
          <w:szCs w:val="24"/>
        </w:rPr>
        <w:t xml:space="preserve"> homologue</w:t>
      </w:r>
      <w:r w:rsidR="00390678" w:rsidRPr="00695693">
        <w:rPr>
          <w:rFonts w:ascii="Times New Roman" w:hAnsi="Times New Roman" w:cs="Times New Roman"/>
          <w:sz w:val="24"/>
          <w:szCs w:val="24"/>
        </w:rPr>
        <w:t>s</w:t>
      </w:r>
      <w:r w:rsidRPr="00695693">
        <w:rPr>
          <w:rFonts w:ascii="Times New Roman" w:hAnsi="Times New Roman" w:cs="Times New Roman"/>
          <w:sz w:val="24"/>
          <w:szCs w:val="24"/>
        </w:rPr>
        <w:t xml:space="preserve"> UEMOA, CEMAC et européen, notamment en révisant la disposition de l’article 10</w:t>
      </w:r>
      <w:r w:rsidR="007E6150" w:rsidRPr="00695693">
        <w:rPr>
          <w:rFonts w:ascii="Times New Roman" w:hAnsi="Times New Roman" w:cs="Times New Roman"/>
          <w:sz w:val="24"/>
          <w:szCs w:val="24"/>
        </w:rPr>
        <w:t>, f du Protocole d’Accra du 19 j</w:t>
      </w:r>
      <w:r w:rsidRPr="00695693">
        <w:rPr>
          <w:rFonts w:ascii="Times New Roman" w:hAnsi="Times New Roman" w:cs="Times New Roman"/>
          <w:sz w:val="24"/>
          <w:szCs w:val="24"/>
        </w:rPr>
        <w:t>anvier 2005, en vue de rendre le renvoi préjudiciel obligatoire pour les juridictions nationales supérieures et facultatif pour celles inférieures. Enfin, il ne serait pas vain pour le législateur CEDEAO d’instaurer  spécifiquement des ateliers de formation sur la rédaction des questions pr</w:t>
      </w:r>
      <w:r w:rsidR="00B07697" w:rsidRPr="00695693">
        <w:rPr>
          <w:rFonts w:ascii="Times New Roman" w:hAnsi="Times New Roman" w:cs="Times New Roman"/>
          <w:sz w:val="24"/>
          <w:szCs w:val="24"/>
        </w:rPr>
        <w:t>éjudicielles devant la Cour de j</w:t>
      </w:r>
      <w:r w:rsidRPr="00695693">
        <w:rPr>
          <w:rFonts w:ascii="Times New Roman" w:hAnsi="Times New Roman" w:cs="Times New Roman"/>
          <w:sz w:val="24"/>
          <w:szCs w:val="24"/>
        </w:rPr>
        <w:t>ustice de la Communauté. L’intérêt de cet atelier viserait non seulement à éclairer les juges nationaux des Etats membres sur la manière de rédiger une question préjudicielle, mais aussi à renforcer leur</w:t>
      </w:r>
      <w:r w:rsidR="00B07697" w:rsidRPr="00695693">
        <w:rPr>
          <w:rFonts w:ascii="Times New Roman" w:hAnsi="Times New Roman" w:cs="Times New Roman"/>
          <w:sz w:val="24"/>
          <w:szCs w:val="24"/>
        </w:rPr>
        <w:t xml:space="preserve"> collaboration avec la Cour de j</w:t>
      </w:r>
      <w:r w:rsidRPr="00695693">
        <w:rPr>
          <w:rFonts w:ascii="Times New Roman" w:hAnsi="Times New Roman" w:cs="Times New Roman"/>
          <w:sz w:val="24"/>
          <w:szCs w:val="24"/>
        </w:rPr>
        <w:t>ustice au développement de l’ordre juridique de la Communauté.</w:t>
      </w:r>
    </w:p>
    <w:p w:rsidR="00515C57" w:rsidRDefault="00515C57">
      <w:pPr>
        <w:rPr>
          <w:rFonts w:ascii="Times New Roman" w:eastAsiaTheme="majorEastAsia" w:hAnsi="Times New Roman" w:cstheme="majorBidi"/>
          <w:b/>
          <w:bCs/>
          <w:sz w:val="32"/>
          <w:szCs w:val="28"/>
        </w:rPr>
      </w:pPr>
      <w:bookmarkStart w:id="113" w:name="_Toc515108239"/>
      <w:bookmarkStart w:id="114" w:name="_Toc518671720"/>
      <w:bookmarkStart w:id="115" w:name="_Toc518672842"/>
    </w:p>
    <w:p w:rsidR="00694424" w:rsidRDefault="00561CE1" w:rsidP="00414AB8">
      <w:pPr>
        <w:pStyle w:val="Titre1"/>
      </w:pPr>
      <w:r w:rsidRPr="00111EDB">
        <w:lastRenderedPageBreak/>
        <w:t>B</w:t>
      </w:r>
      <w:r w:rsidR="00694424" w:rsidRPr="00111EDB">
        <w:t>I</w:t>
      </w:r>
      <w:r w:rsidRPr="00111EDB">
        <w:t>BLIO</w:t>
      </w:r>
      <w:r w:rsidR="006E74E5" w:rsidRPr="00111EDB">
        <w:t>GRAPHIE GENERALE</w:t>
      </w:r>
      <w:bookmarkEnd w:id="113"/>
      <w:bookmarkEnd w:id="114"/>
      <w:bookmarkEnd w:id="115"/>
    </w:p>
    <w:p w:rsidR="00FE0883" w:rsidRPr="00FE0883" w:rsidRDefault="00FE0883" w:rsidP="00FE0883"/>
    <w:p w:rsidR="00694424" w:rsidRPr="00695693" w:rsidRDefault="00694424" w:rsidP="00FE0883">
      <w:pPr>
        <w:tabs>
          <w:tab w:val="center" w:pos="4536"/>
        </w:tabs>
        <w:spacing w:line="360" w:lineRule="auto"/>
        <w:rPr>
          <w:rFonts w:ascii="Times New Roman" w:hAnsi="Times New Roman" w:cs="Times New Roman"/>
          <w:b/>
          <w:sz w:val="24"/>
          <w:szCs w:val="24"/>
        </w:rPr>
      </w:pPr>
      <w:r w:rsidRPr="00695693">
        <w:rPr>
          <w:rFonts w:ascii="Times New Roman" w:hAnsi="Times New Roman" w:cs="Times New Roman"/>
          <w:b/>
          <w:sz w:val="24"/>
          <w:szCs w:val="24"/>
        </w:rPr>
        <w:t xml:space="preserve">I. </w:t>
      </w:r>
      <w:r w:rsidR="006E74E5" w:rsidRPr="00695693">
        <w:rPr>
          <w:rFonts w:ascii="Times New Roman" w:hAnsi="Times New Roman" w:cs="Times New Roman"/>
          <w:b/>
          <w:sz w:val="24"/>
          <w:szCs w:val="24"/>
        </w:rPr>
        <w:t>DOCTRINES</w:t>
      </w:r>
    </w:p>
    <w:p w:rsidR="006E74E5" w:rsidRPr="00695693" w:rsidRDefault="001375DF" w:rsidP="00695693">
      <w:pPr>
        <w:tabs>
          <w:tab w:val="center" w:pos="4536"/>
        </w:tabs>
        <w:spacing w:line="360" w:lineRule="auto"/>
        <w:jc w:val="both"/>
        <w:rPr>
          <w:rFonts w:ascii="Times New Roman" w:hAnsi="Times New Roman" w:cs="Times New Roman"/>
          <w:b/>
          <w:sz w:val="24"/>
          <w:szCs w:val="24"/>
        </w:rPr>
      </w:pPr>
      <w:r w:rsidRPr="00695693">
        <w:rPr>
          <w:rFonts w:ascii="Times New Roman" w:hAnsi="Times New Roman" w:cs="Times New Roman"/>
          <w:b/>
          <w:sz w:val="24"/>
          <w:szCs w:val="24"/>
        </w:rPr>
        <w:t>A. les ouvrages</w:t>
      </w:r>
    </w:p>
    <w:p w:rsidR="000129CA" w:rsidRPr="00695693" w:rsidRDefault="000129CA"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BOULOUIS Jean, DARMON Marco, HUGLO Jean-Guy, </w:t>
      </w:r>
      <w:r w:rsidRPr="00695693">
        <w:rPr>
          <w:rFonts w:ascii="Times New Roman" w:hAnsi="Times New Roman" w:cs="Times New Roman"/>
          <w:i/>
          <w:sz w:val="24"/>
          <w:szCs w:val="24"/>
        </w:rPr>
        <w:t>Contentieux communautaire</w:t>
      </w:r>
      <w:r w:rsidRPr="00695693">
        <w:rPr>
          <w:rFonts w:ascii="Times New Roman" w:hAnsi="Times New Roman" w:cs="Times New Roman"/>
          <w:sz w:val="24"/>
          <w:szCs w:val="24"/>
        </w:rPr>
        <w:t>, Paris, Dalloz, 2001, 2</w:t>
      </w:r>
      <w:r w:rsidRPr="00695693">
        <w:rPr>
          <w:rFonts w:ascii="Times New Roman" w:hAnsi="Times New Roman" w:cs="Times New Roman"/>
          <w:sz w:val="24"/>
          <w:szCs w:val="24"/>
          <w:vertAlign w:val="superscript"/>
        </w:rPr>
        <w:t>ème</w:t>
      </w:r>
      <w:r w:rsidRPr="00695693">
        <w:rPr>
          <w:rFonts w:ascii="Times New Roman" w:hAnsi="Times New Roman" w:cs="Times New Roman"/>
          <w:sz w:val="24"/>
          <w:szCs w:val="24"/>
        </w:rPr>
        <w:t xml:space="preserve"> éd., 435 p.</w:t>
      </w:r>
    </w:p>
    <w:p w:rsidR="000129CA" w:rsidRPr="00695693" w:rsidRDefault="000129CA"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BOULOUIS Jean, </w:t>
      </w:r>
      <w:r w:rsidRPr="00695693">
        <w:rPr>
          <w:rFonts w:ascii="Times New Roman" w:hAnsi="Times New Roman" w:cs="Times New Roman"/>
          <w:i/>
          <w:sz w:val="24"/>
          <w:szCs w:val="24"/>
        </w:rPr>
        <w:t>Droit institutionnel de l’Union européenne</w:t>
      </w:r>
      <w:r w:rsidRPr="00695693">
        <w:rPr>
          <w:rFonts w:ascii="Times New Roman" w:hAnsi="Times New Roman" w:cs="Times New Roman"/>
          <w:sz w:val="24"/>
          <w:szCs w:val="24"/>
        </w:rPr>
        <w:t>, Paris, Montchrestien,  1995, 5</w:t>
      </w:r>
      <w:r w:rsidRPr="00695693">
        <w:rPr>
          <w:rFonts w:ascii="Times New Roman" w:hAnsi="Times New Roman" w:cs="Times New Roman"/>
          <w:sz w:val="24"/>
          <w:szCs w:val="24"/>
          <w:vertAlign w:val="superscript"/>
        </w:rPr>
        <w:t>ème</w:t>
      </w:r>
      <w:r w:rsidRPr="00695693">
        <w:rPr>
          <w:rFonts w:ascii="Times New Roman" w:hAnsi="Times New Roman" w:cs="Times New Roman"/>
          <w:sz w:val="24"/>
          <w:szCs w:val="24"/>
        </w:rPr>
        <w:t xml:space="preserve"> éd., 392 p.</w:t>
      </w:r>
    </w:p>
    <w:p w:rsidR="000129CA" w:rsidRPr="00695693" w:rsidRDefault="000129CA"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BOULOUIS Jean, </w:t>
      </w:r>
      <w:r w:rsidRPr="00695693">
        <w:rPr>
          <w:rFonts w:ascii="Times New Roman" w:hAnsi="Times New Roman" w:cs="Times New Roman"/>
          <w:i/>
          <w:sz w:val="24"/>
          <w:szCs w:val="24"/>
        </w:rPr>
        <w:t>Droit institutionnel des Communautés européennes</w:t>
      </w:r>
      <w:r w:rsidRPr="00695693">
        <w:rPr>
          <w:rFonts w:ascii="Times New Roman" w:hAnsi="Times New Roman" w:cs="Times New Roman"/>
          <w:sz w:val="24"/>
          <w:szCs w:val="24"/>
        </w:rPr>
        <w:t>, Paris, Montchrestien, 1993, 4</w:t>
      </w:r>
      <w:r w:rsidRPr="00695693">
        <w:rPr>
          <w:rFonts w:ascii="Times New Roman" w:hAnsi="Times New Roman" w:cs="Times New Roman"/>
          <w:sz w:val="24"/>
          <w:szCs w:val="24"/>
          <w:vertAlign w:val="superscript"/>
        </w:rPr>
        <w:t>ème</w:t>
      </w:r>
      <w:r w:rsidRPr="00695693">
        <w:rPr>
          <w:rFonts w:ascii="Times New Roman" w:hAnsi="Times New Roman" w:cs="Times New Roman"/>
          <w:sz w:val="24"/>
          <w:szCs w:val="24"/>
        </w:rPr>
        <w:t xml:space="preserve"> éd., 382 p.</w:t>
      </w:r>
    </w:p>
    <w:p w:rsidR="000129CA" w:rsidRPr="00695693" w:rsidRDefault="000129CA"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CARREAU Dominique, </w:t>
      </w:r>
      <w:r w:rsidRPr="00695693">
        <w:rPr>
          <w:rFonts w:ascii="Times New Roman" w:hAnsi="Times New Roman" w:cs="Times New Roman"/>
          <w:i/>
          <w:sz w:val="24"/>
          <w:szCs w:val="24"/>
        </w:rPr>
        <w:t>Droit international</w:t>
      </w:r>
      <w:r w:rsidRPr="00695693">
        <w:rPr>
          <w:rFonts w:ascii="Times New Roman" w:hAnsi="Times New Roman" w:cs="Times New Roman"/>
          <w:sz w:val="24"/>
          <w:szCs w:val="24"/>
        </w:rPr>
        <w:t>, Paris, Pedone, 2007, 9</w:t>
      </w:r>
      <w:r w:rsidRPr="00695693">
        <w:rPr>
          <w:rFonts w:ascii="Times New Roman" w:hAnsi="Times New Roman" w:cs="Times New Roman"/>
          <w:sz w:val="24"/>
          <w:szCs w:val="24"/>
          <w:vertAlign w:val="superscript"/>
        </w:rPr>
        <w:t>ème</w:t>
      </w:r>
      <w:r w:rsidRPr="00695693">
        <w:rPr>
          <w:rFonts w:ascii="Times New Roman" w:hAnsi="Times New Roman" w:cs="Times New Roman"/>
          <w:sz w:val="24"/>
          <w:szCs w:val="24"/>
        </w:rPr>
        <w:t xml:space="preserve"> éd., 621 p.</w:t>
      </w:r>
    </w:p>
    <w:p w:rsidR="000129CA" w:rsidRDefault="000129CA"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CLERGERIE Jean-Louis, </w:t>
      </w:r>
      <w:r w:rsidRPr="00695693">
        <w:rPr>
          <w:rFonts w:ascii="Times New Roman" w:hAnsi="Times New Roman" w:cs="Times New Roman"/>
          <w:i/>
          <w:sz w:val="24"/>
          <w:szCs w:val="24"/>
        </w:rPr>
        <w:t>Le renvoi préjudiciel</w:t>
      </w:r>
      <w:r w:rsidRPr="00695693">
        <w:rPr>
          <w:rFonts w:ascii="Times New Roman" w:hAnsi="Times New Roman" w:cs="Times New Roman"/>
          <w:sz w:val="24"/>
          <w:szCs w:val="24"/>
        </w:rPr>
        <w:t>, Paris, Ellipses, 2000, 174 p.</w:t>
      </w:r>
    </w:p>
    <w:p w:rsidR="00665EEB" w:rsidRPr="00695693" w:rsidRDefault="00665EEB"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DUBOUIS Louis et GUEYDAN Claude, </w:t>
      </w:r>
      <w:r w:rsidRPr="00665EEB">
        <w:rPr>
          <w:rFonts w:ascii="Times New Roman" w:hAnsi="Times New Roman" w:cs="Times New Roman"/>
          <w:i/>
          <w:sz w:val="24"/>
          <w:szCs w:val="24"/>
        </w:rPr>
        <w:t>Les grands textes du droit de l’Union européenne</w:t>
      </w:r>
      <w:r>
        <w:rPr>
          <w:rFonts w:ascii="Times New Roman" w:hAnsi="Times New Roman" w:cs="Times New Roman"/>
          <w:sz w:val="24"/>
          <w:szCs w:val="24"/>
        </w:rPr>
        <w:t>, Paris, Dalloz, 2010, 8</w:t>
      </w:r>
      <w:r w:rsidRPr="00665EEB">
        <w:rPr>
          <w:rFonts w:ascii="Times New Roman" w:hAnsi="Times New Roman" w:cs="Times New Roman"/>
          <w:sz w:val="24"/>
          <w:szCs w:val="24"/>
          <w:vertAlign w:val="superscript"/>
        </w:rPr>
        <w:t>ème</w:t>
      </w:r>
      <w:r>
        <w:rPr>
          <w:rFonts w:ascii="Times New Roman" w:hAnsi="Times New Roman" w:cs="Times New Roman"/>
          <w:sz w:val="24"/>
          <w:szCs w:val="24"/>
        </w:rPr>
        <w:t xml:space="preserve"> éd., 1147 p.</w:t>
      </w:r>
    </w:p>
    <w:p w:rsidR="000129CA" w:rsidRPr="00695693" w:rsidRDefault="000129CA"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FRICERO Natalie, </w:t>
      </w:r>
      <w:r w:rsidRPr="00695693">
        <w:rPr>
          <w:rFonts w:ascii="Times New Roman" w:hAnsi="Times New Roman" w:cs="Times New Roman"/>
          <w:i/>
          <w:sz w:val="24"/>
          <w:szCs w:val="24"/>
        </w:rPr>
        <w:t>Mémentos LMD des institutions judiciaires</w:t>
      </w:r>
      <w:r w:rsidRPr="00695693">
        <w:rPr>
          <w:rFonts w:ascii="Times New Roman" w:hAnsi="Times New Roman" w:cs="Times New Roman"/>
          <w:sz w:val="24"/>
          <w:szCs w:val="24"/>
        </w:rPr>
        <w:t>, Paris, Gualino, 2014, 5</w:t>
      </w:r>
      <w:r w:rsidRPr="00695693">
        <w:rPr>
          <w:rFonts w:ascii="Times New Roman" w:hAnsi="Times New Roman" w:cs="Times New Roman"/>
          <w:sz w:val="24"/>
          <w:szCs w:val="24"/>
          <w:vertAlign w:val="superscript"/>
        </w:rPr>
        <w:t>ème</w:t>
      </w:r>
      <w:r w:rsidRPr="00695693">
        <w:rPr>
          <w:rFonts w:ascii="Times New Roman" w:hAnsi="Times New Roman" w:cs="Times New Roman"/>
          <w:sz w:val="24"/>
          <w:szCs w:val="24"/>
        </w:rPr>
        <w:t xml:space="preserve"> éd., 211 p.</w:t>
      </w:r>
    </w:p>
    <w:p w:rsidR="000129CA" w:rsidRPr="00695693" w:rsidRDefault="000129CA"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GONIDEC Pierre-François, </w:t>
      </w:r>
      <w:r w:rsidRPr="00695693">
        <w:rPr>
          <w:rFonts w:ascii="Times New Roman" w:hAnsi="Times New Roman" w:cs="Times New Roman"/>
          <w:i/>
          <w:sz w:val="24"/>
          <w:szCs w:val="24"/>
        </w:rPr>
        <w:t>Les organisations internationales africaines : étude comparative</w:t>
      </w:r>
      <w:r w:rsidRPr="00695693">
        <w:rPr>
          <w:rFonts w:ascii="Times New Roman" w:hAnsi="Times New Roman" w:cs="Times New Roman"/>
          <w:sz w:val="24"/>
          <w:szCs w:val="24"/>
        </w:rPr>
        <w:t>, Paris, l’Harmattan, 1987, 303 p.</w:t>
      </w:r>
    </w:p>
    <w:p w:rsidR="000129CA" w:rsidRPr="00695693" w:rsidRDefault="000129CA"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GUILLIEN Raymond et VINCENT Jean, </w:t>
      </w:r>
      <w:r w:rsidRPr="00695693">
        <w:rPr>
          <w:rFonts w:ascii="Times New Roman" w:hAnsi="Times New Roman" w:cs="Times New Roman"/>
          <w:i/>
          <w:sz w:val="24"/>
          <w:szCs w:val="24"/>
        </w:rPr>
        <w:t xml:space="preserve">Lexiques des termes juridiques, </w:t>
      </w:r>
      <w:r w:rsidRPr="00414AB8">
        <w:rPr>
          <w:rFonts w:ascii="Times New Roman" w:hAnsi="Times New Roman" w:cs="Times New Roman"/>
          <w:sz w:val="24"/>
          <w:szCs w:val="24"/>
        </w:rPr>
        <w:t>Paris,</w:t>
      </w:r>
      <w:r w:rsidRPr="00695693">
        <w:rPr>
          <w:rFonts w:ascii="Times New Roman" w:hAnsi="Times New Roman" w:cs="Times New Roman"/>
          <w:sz w:val="24"/>
          <w:szCs w:val="24"/>
        </w:rPr>
        <w:t xml:space="preserve"> Dalloz, 2003, 14</w:t>
      </w:r>
      <w:r w:rsidRPr="00695693">
        <w:rPr>
          <w:rFonts w:ascii="Times New Roman" w:hAnsi="Times New Roman" w:cs="Times New Roman"/>
          <w:sz w:val="24"/>
          <w:szCs w:val="24"/>
          <w:vertAlign w:val="superscript"/>
        </w:rPr>
        <w:t>ème</w:t>
      </w:r>
      <w:r w:rsidRPr="00695693">
        <w:rPr>
          <w:rFonts w:ascii="Times New Roman" w:hAnsi="Times New Roman" w:cs="Times New Roman"/>
          <w:sz w:val="24"/>
          <w:szCs w:val="24"/>
        </w:rPr>
        <w:t xml:space="preserve"> éd., 619 p.</w:t>
      </w:r>
    </w:p>
    <w:p w:rsidR="000129CA" w:rsidRPr="00695693" w:rsidRDefault="000129CA"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GUINCHARD Serge  et DEBARD Thierry, </w:t>
      </w:r>
      <w:r w:rsidRPr="00695693">
        <w:rPr>
          <w:rFonts w:ascii="Times New Roman" w:hAnsi="Times New Roman" w:cs="Times New Roman"/>
          <w:i/>
          <w:sz w:val="24"/>
          <w:szCs w:val="24"/>
        </w:rPr>
        <w:t>Lexiques des termesjuridiques</w:t>
      </w:r>
      <w:r w:rsidRPr="00695693">
        <w:rPr>
          <w:rFonts w:ascii="Times New Roman" w:hAnsi="Times New Roman" w:cs="Times New Roman"/>
          <w:sz w:val="24"/>
          <w:szCs w:val="24"/>
        </w:rPr>
        <w:t>, Paris, Dalloz, 2014, 21</w:t>
      </w:r>
      <w:r w:rsidRPr="00695693">
        <w:rPr>
          <w:rFonts w:ascii="Times New Roman" w:hAnsi="Times New Roman" w:cs="Times New Roman"/>
          <w:sz w:val="24"/>
          <w:szCs w:val="24"/>
          <w:vertAlign w:val="superscript"/>
        </w:rPr>
        <w:t>ème</w:t>
      </w:r>
      <w:r w:rsidRPr="00695693">
        <w:rPr>
          <w:rFonts w:ascii="Times New Roman" w:hAnsi="Times New Roman" w:cs="Times New Roman"/>
          <w:sz w:val="24"/>
          <w:szCs w:val="24"/>
        </w:rPr>
        <w:t xml:space="preserve"> éd., 993 p.</w:t>
      </w:r>
    </w:p>
    <w:p w:rsidR="000129CA" w:rsidRPr="00695693" w:rsidRDefault="000129CA"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GUINCHARD Serge et DEBARD Thierry, </w:t>
      </w:r>
      <w:r w:rsidRPr="00695693">
        <w:rPr>
          <w:rFonts w:ascii="Times New Roman" w:hAnsi="Times New Roman" w:cs="Times New Roman"/>
          <w:i/>
          <w:sz w:val="24"/>
          <w:szCs w:val="24"/>
        </w:rPr>
        <w:t>Lexiques des termesjuridiques</w:t>
      </w:r>
      <w:r w:rsidRPr="00695693">
        <w:rPr>
          <w:rFonts w:ascii="Times New Roman" w:hAnsi="Times New Roman" w:cs="Times New Roman"/>
          <w:sz w:val="24"/>
          <w:szCs w:val="24"/>
        </w:rPr>
        <w:t>, Paris, Dalloz, 2012, 19</w:t>
      </w:r>
      <w:r w:rsidRPr="00695693">
        <w:rPr>
          <w:rFonts w:ascii="Times New Roman" w:hAnsi="Times New Roman" w:cs="Times New Roman"/>
          <w:sz w:val="24"/>
          <w:szCs w:val="24"/>
          <w:vertAlign w:val="superscript"/>
        </w:rPr>
        <w:t>ème</w:t>
      </w:r>
      <w:r w:rsidRPr="00695693">
        <w:rPr>
          <w:rFonts w:ascii="Times New Roman" w:hAnsi="Times New Roman" w:cs="Times New Roman"/>
          <w:sz w:val="24"/>
          <w:szCs w:val="24"/>
        </w:rPr>
        <w:t xml:space="preserve"> éd., 918 p.</w:t>
      </w:r>
    </w:p>
    <w:p w:rsidR="000129CA" w:rsidRPr="00695693" w:rsidRDefault="000129CA"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ISAAC Guy, </w:t>
      </w:r>
      <w:r w:rsidRPr="00695693">
        <w:rPr>
          <w:rFonts w:ascii="Times New Roman" w:hAnsi="Times New Roman" w:cs="Times New Roman"/>
          <w:i/>
          <w:sz w:val="24"/>
          <w:szCs w:val="24"/>
        </w:rPr>
        <w:t>Droit communautaire général</w:t>
      </w:r>
      <w:r w:rsidRPr="00695693">
        <w:rPr>
          <w:rFonts w:ascii="Times New Roman" w:hAnsi="Times New Roman" w:cs="Times New Roman"/>
          <w:sz w:val="24"/>
          <w:szCs w:val="24"/>
        </w:rPr>
        <w:t>, Paris, Masson, 1993, 3</w:t>
      </w:r>
      <w:r w:rsidRPr="00695693">
        <w:rPr>
          <w:rFonts w:ascii="Times New Roman" w:hAnsi="Times New Roman" w:cs="Times New Roman"/>
          <w:sz w:val="24"/>
          <w:szCs w:val="24"/>
          <w:vertAlign w:val="superscript"/>
        </w:rPr>
        <w:t>ème</w:t>
      </w:r>
      <w:r w:rsidRPr="00695693">
        <w:rPr>
          <w:rFonts w:ascii="Times New Roman" w:hAnsi="Times New Roman" w:cs="Times New Roman"/>
          <w:sz w:val="24"/>
          <w:szCs w:val="24"/>
        </w:rPr>
        <w:t xml:space="preserve"> éd., 318 p.</w:t>
      </w:r>
    </w:p>
    <w:p w:rsidR="000129CA" w:rsidRPr="00695693" w:rsidRDefault="000129CA"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ISSA-SAYEGH Joseph et autres, </w:t>
      </w:r>
      <w:r w:rsidRPr="00695693">
        <w:rPr>
          <w:rFonts w:ascii="Times New Roman" w:hAnsi="Times New Roman" w:cs="Times New Roman"/>
          <w:i/>
          <w:sz w:val="24"/>
          <w:szCs w:val="24"/>
        </w:rPr>
        <w:t>OHADA : Traité et actes uniformes commentés et annotés</w:t>
      </w:r>
      <w:r w:rsidRPr="00695693">
        <w:rPr>
          <w:rFonts w:ascii="Times New Roman" w:hAnsi="Times New Roman" w:cs="Times New Roman"/>
          <w:sz w:val="24"/>
          <w:szCs w:val="24"/>
        </w:rPr>
        <w:t>, Juriscope, édition 2016, 1440 p.</w:t>
      </w:r>
    </w:p>
    <w:p w:rsidR="000129CA" w:rsidRPr="00695693" w:rsidRDefault="000129CA"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LEGRAND André et WIENER Céline, </w:t>
      </w:r>
      <w:r w:rsidRPr="00695693">
        <w:rPr>
          <w:rFonts w:ascii="Times New Roman" w:hAnsi="Times New Roman" w:cs="Times New Roman"/>
          <w:i/>
          <w:sz w:val="24"/>
          <w:szCs w:val="24"/>
        </w:rPr>
        <w:t>Le droit public</w:t>
      </w:r>
      <w:r w:rsidRPr="00695693">
        <w:rPr>
          <w:rFonts w:ascii="Times New Roman" w:hAnsi="Times New Roman" w:cs="Times New Roman"/>
          <w:sz w:val="24"/>
          <w:szCs w:val="24"/>
        </w:rPr>
        <w:t>, Paris, La documentation française, édition 2011, 240 p.</w:t>
      </w:r>
    </w:p>
    <w:p w:rsidR="000129CA" w:rsidRPr="00695693" w:rsidRDefault="000129CA"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SALMON Jean (dir), </w:t>
      </w:r>
      <w:r w:rsidRPr="00695693">
        <w:rPr>
          <w:rFonts w:ascii="Times New Roman" w:hAnsi="Times New Roman" w:cs="Times New Roman"/>
          <w:i/>
          <w:sz w:val="24"/>
          <w:szCs w:val="24"/>
        </w:rPr>
        <w:t>Dictionnaire de droit international public</w:t>
      </w:r>
      <w:r w:rsidRPr="00695693">
        <w:rPr>
          <w:rFonts w:ascii="Times New Roman" w:hAnsi="Times New Roman" w:cs="Times New Roman"/>
          <w:sz w:val="24"/>
          <w:szCs w:val="24"/>
        </w:rPr>
        <w:t>, Bruxelles, Bruylant, 2001, 1198 p.</w:t>
      </w:r>
    </w:p>
    <w:p w:rsidR="000129CA" w:rsidRPr="00695693" w:rsidRDefault="000129CA"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lastRenderedPageBreak/>
        <w:t xml:space="preserve">TALL Saidou Nourou, </w:t>
      </w:r>
      <w:r w:rsidRPr="00695693">
        <w:rPr>
          <w:rFonts w:ascii="Times New Roman" w:hAnsi="Times New Roman" w:cs="Times New Roman"/>
          <w:i/>
          <w:sz w:val="24"/>
          <w:szCs w:val="24"/>
        </w:rPr>
        <w:t>D</w:t>
      </w:r>
      <w:r w:rsidR="006867E7">
        <w:rPr>
          <w:rFonts w:ascii="Times New Roman" w:hAnsi="Times New Roman" w:cs="Times New Roman"/>
          <w:i/>
          <w:sz w:val="24"/>
          <w:szCs w:val="24"/>
        </w:rPr>
        <w:t>roit d</w:t>
      </w:r>
      <w:r w:rsidRPr="00695693">
        <w:rPr>
          <w:rFonts w:ascii="Times New Roman" w:hAnsi="Times New Roman" w:cs="Times New Roman"/>
          <w:i/>
          <w:sz w:val="24"/>
          <w:szCs w:val="24"/>
        </w:rPr>
        <w:t>es organisations internationales africaines, théorie générale, droit communautaire comparé, droits de l’homme, paix et sécurité</w:t>
      </w:r>
      <w:r w:rsidRPr="00695693">
        <w:rPr>
          <w:rFonts w:ascii="Times New Roman" w:hAnsi="Times New Roman" w:cs="Times New Roman"/>
          <w:sz w:val="24"/>
          <w:szCs w:val="24"/>
        </w:rPr>
        <w:t>, Paris, l’Harmattan, 2015, 547 p.</w:t>
      </w:r>
    </w:p>
    <w:p w:rsidR="000129CA" w:rsidRPr="00695693" w:rsidRDefault="000129CA"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VERHOEVEN Joe, </w:t>
      </w:r>
      <w:r w:rsidRPr="00695693">
        <w:rPr>
          <w:rFonts w:ascii="Times New Roman" w:hAnsi="Times New Roman" w:cs="Times New Roman"/>
          <w:i/>
          <w:sz w:val="24"/>
          <w:szCs w:val="24"/>
        </w:rPr>
        <w:t>Droit de la Communauté européenne</w:t>
      </w:r>
      <w:r w:rsidRPr="00695693">
        <w:rPr>
          <w:rFonts w:ascii="Times New Roman" w:hAnsi="Times New Roman" w:cs="Times New Roman"/>
          <w:sz w:val="24"/>
          <w:szCs w:val="24"/>
        </w:rPr>
        <w:t>, Bruxelles, Larcier s. a, 1996, 448 p.</w:t>
      </w:r>
    </w:p>
    <w:p w:rsidR="006E74E5" w:rsidRPr="00695693" w:rsidRDefault="006E74E5" w:rsidP="00695693">
      <w:pPr>
        <w:tabs>
          <w:tab w:val="center" w:pos="4536"/>
        </w:tabs>
        <w:spacing w:line="360" w:lineRule="auto"/>
        <w:jc w:val="both"/>
        <w:rPr>
          <w:rFonts w:ascii="Times New Roman" w:hAnsi="Times New Roman" w:cs="Times New Roman"/>
          <w:b/>
          <w:sz w:val="24"/>
          <w:szCs w:val="24"/>
        </w:rPr>
      </w:pPr>
      <w:r w:rsidRPr="00695693">
        <w:rPr>
          <w:rFonts w:ascii="Times New Roman" w:hAnsi="Times New Roman" w:cs="Times New Roman"/>
          <w:b/>
          <w:sz w:val="24"/>
          <w:szCs w:val="24"/>
        </w:rPr>
        <w:t xml:space="preserve">B. </w:t>
      </w:r>
      <w:r w:rsidR="001375DF" w:rsidRPr="00695693">
        <w:rPr>
          <w:rFonts w:ascii="Times New Roman" w:hAnsi="Times New Roman" w:cs="Times New Roman"/>
          <w:b/>
          <w:sz w:val="24"/>
          <w:szCs w:val="24"/>
        </w:rPr>
        <w:t>les thèses et mémoires</w:t>
      </w:r>
    </w:p>
    <w:p w:rsidR="006E74E5" w:rsidRPr="00695693" w:rsidRDefault="006E74E5" w:rsidP="00695693">
      <w:pPr>
        <w:pStyle w:val="Paragraphedeliste"/>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1. Les thèses </w:t>
      </w:r>
    </w:p>
    <w:p w:rsidR="006E74E5" w:rsidRPr="00695693" w:rsidRDefault="006E74E5"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CASSIA Paul, </w:t>
      </w:r>
      <w:r w:rsidRPr="00695693">
        <w:rPr>
          <w:rFonts w:ascii="Times New Roman" w:hAnsi="Times New Roman" w:cs="Times New Roman"/>
          <w:i/>
          <w:sz w:val="24"/>
          <w:szCs w:val="24"/>
        </w:rPr>
        <w:t>L’accès des personnes physiques ou morales au juge de la légalité des actes communautaires</w:t>
      </w:r>
      <w:r w:rsidRPr="00695693">
        <w:rPr>
          <w:rFonts w:ascii="Times New Roman" w:hAnsi="Times New Roman" w:cs="Times New Roman"/>
          <w:sz w:val="24"/>
          <w:szCs w:val="24"/>
        </w:rPr>
        <w:t>, thèse de doctorat, Université Panthéo</w:t>
      </w:r>
      <w:r w:rsidR="004C3996" w:rsidRPr="00695693">
        <w:rPr>
          <w:rFonts w:ascii="Times New Roman" w:hAnsi="Times New Roman" w:cs="Times New Roman"/>
          <w:sz w:val="24"/>
          <w:szCs w:val="24"/>
        </w:rPr>
        <w:t>n Sorbonne Paris I, 2000, 1007 p</w:t>
      </w:r>
      <w:r w:rsidRPr="00695693">
        <w:rPr>
          <w:rFonts w:ascii="Times New Roman" w:hAnsi="Times New Roman" w:cs="Times New Roman"/>
          <w:sz w:val="24"/>
          <w:szCs w:val="24"/>
        </w:rPr>
        <w:t>.</w:t>
      </w:r>
    </w:p>
    <w:p w:rsidR="006E74E5" w:rsidRPr="00695693" w:rsidRDefault="006E74E5"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SOW Idrissa, </w:t>
      </w:r>
      <w:r w:rsidRPr="00695693">
        <w:rPr>
          <w:rFonts w:ascii="Times New Roman" w:hAnsi="Times New Roman" w:cs="Times New Roman"/>
          <w:i/>
          <w:sz w:val="24"/>
          <w:szCs w:val="24"/>
        </w:rPr>
        <w:t>La protection de l’ordre juridique sous régional par les Cours de Justice : contribution à l’étude de la fonction judiciaire dans les organisations Ouest-africaines d’intégration</w:t>
      </w:r>
      <w:r w:rsidRPr="00695693">
        <w:rPr>
          <w:rFonts w:ascii="Times New Roman" w:hAnsi="Times New Roman" w:cs="Times New Roman"/>
          <w:sz w:val="24"/>
          <w:szCs w:val="24"/>
        </w:rPr>
        <w:t>, thèse de doctorat, Université Mont</w:t>
      </w:r>
      <w:r w:rsidR="004C3996" w:rsidRPr="00695693">
        <w:rPr>
          <w:rFonts w:ascii="Times New Roman" w:hAnsi="Times New Roman" w:cs="Times New Roman"/>
          <w:sz w:val="24"/>
          <w:szCs w:val="24"/>
        </w:rPr>
        <w:t>esquieu-Bordeaux IV, 2013, 309 p</w:t>
      </w:r>
      <w:r w:rsidRPr="00695693">
        <w:rPr>
          <w:rFonts w:ascii="Times New Roman" w:hAnsi="Times New Roman" w:cs="Times New Roman"/>
          <w:sz w:val="24"/>
          <w:szCs w:val="24"/>
        </w:rPr>
        <w:t>.</w:t>
      </w:r>
    </w:p>
    <w:p w:rsidR="00FE1F69" w:rsidRDefault="006E74E5" w:rsidP="00695693">
      <w:pPr>
        <w:pStyle w:val="Paragraphedeliste"/>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2. Les mémoires</w:t>
      </w:r>
    </w:p>
    <w:p w:rsidR="0048227B" w:rsidRPr="00C52757" w:rsidRDefault="0048227B" w:rsidP="0048227B">
      <w:pPr>
        <w:pStyle w:val="Paragraphedeliste"/>
        <w:numPr>
          <w:ilvl w:val="0"/>
          <w:numId w:val="49"/>
        </w:numPr>
        <w:tabs>
          <w:tab w:val="center" w:pos="4536"/>
        </w:tabs>
        <w:spacing w:line="360" w:lineRule="auto"/>
        <w:jc w:val="both"/>
        <w:rPr>
          <w:rFonts w:ascii="Times New Roman" w:hAnsi="Times New Roman" w:cs="Times New Roman"/>
          <w:sz w:val="24"/>
          <w:szCs w:val="24"/>
        </w:rPr>
      </w:pPr>
      <w:r w:rsidRPr="00C52757">
        <w:rPr>
          <w:rFonts w:ascii="Times New Roman" w:hAnsi="Times New Roman" w:cs="Times New Roman"/>
          <w:sz w:val="24"/>
          <w:szCs w:val="24"/>
        </w:rPr>
        <w:t xml:space="preserve">HIEN Sansan Robert, </w:t>
      </w:r>
      <w:r w:rsidRPr="00C52757">
        <w:rPr>
          <w:rFonts w:ascii="Times New Roman" w:hAnsi="Times New Roman" w:cs="Times New Roman"/>
          <w:i/>
          <w:sz w:val="24"/>
          <w:szCs w:val="24"/>
        </w:rPr>
        <w:t>L’individu devant les juridictions communautaires en Afrique de l’Ouest</w:t>
      </w:r>
      <w:r w:rsidRPr="00C52757">
        <w:rPr>
          <w:rFonts w:ascii="Times New Roman" w:hAnsi="Times New Roman" w:cs="Times New Roman"/>
          <w:sz w:val="24"/>
          <w:szCs w:val="24"/>
        </w:rPr>
        <w:t>, Mémoire de Master II recherche en droit international public, UFR/SJP de l’Université Ouaga II, 2014-2015, 79 p.</w:t>
      </w:r>
    </w:p>
    <w:p w:rsidR="006E74E5" w:rsidRDefault="00FE1F69"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TRAORE Oumar, </w:t>
      </w:r>
      <w:r w:rsidRPr="00695693">
        <w:rPr>
          <w:rFonts w:ascii="Times New Roman" w:hAnsi="Times New Roman" w:cs="Times New Roman"/>
          <w:i/>
          <w:sz w:val="24"/>
          <w:szCs w:val="24"/>
        </w:rPr>
        <w:t>L’émergence du contentieux communautaire en Afrique de l’Ouest</w:t>
      </w:r>
      <w:r w:rsidRPr="00695693">
        <w:rPr>
          <w:rFonts w:ascii="Times New Roman" w:hAnsi="Times New Roman" w:cs="Times New Roman"/>
          <w:sz w:val="24"/>
          <w:szCs w:val="24"/>
        </w:rPr>
        <w:t>, Mémoire de Master II recherche en droit international public, UFR/SJP de l’Univer</w:t>
      </w:r>
      <w:r w:rsidR="004C3996" w:rsidRPr="00695693">
        <w:rPr>
          <w:rFonts w:ascii="Times New Roman" w:hAnsi="Times New Roman" w:cs="Times New Roman"/>
          <w:sz w:val="24"/>
          <w:szCs w:val="24"/>
        </w:rPr>
        <w:t>sité Ouaga II, 2015-2016, 105 p</w:t>
      </w:r>
      <w:r w:rsidRPr="00695693">
        <w:rPr>
          <w:rFonts w:ascii="Times New Roman" w:hAnsi="Times New Roman" w:cs="Times New Roman"/>
          <w:sz w:val="24"/>
          <w:szCs w:val="24"/>
        </w:rPr>
        <w:t>.</w:t>
      </w:r>
    </w:p>
    <w:p w:rsidR="002245F9" w:rsidRPr="00695693" w:rsidRDefault="002245F9"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YAMEOGO Valérie Flore, </w:t>
      </w:r>
      <w:r w:rsidRPr="002245F9">
        <w:rPr>
          <w:rFonts w:ascii="Times New Roman" w:hAnsi="Times New Roman" w:cs="Times New Roman"/>
          <w:i/>
          <w:sz w:val="24"/>
          <w:szCs w:val="24"/>
        </w:rPr>
        <w:t>La CEDEAO et les droits de l’homme</w:t>
      </w:r>
      <w:r>
        <w:rPr>
          <w:rFonts w:ascii="Times New Roman" w:hAnsi="Times New Roman" w:cs="Times New Roman"/>
          <w:sz w:val="24"/>
          <w:szCs w:val="24"/>
        </w:rPr>
        <w:t>, Mémoire de Master II recherche en droit international public, UFR/SJP de l’université Ouaga II, 2015-2016, 88 p.</w:t>
      </w:r>
    </w:p>
    <w:p w:rsidR="00694424" w:rsidRPr="00695693" w:rsidRDefault="006E74E5" w:rsidP="00695693">
      <w:pPr>
        <w:tabs>
          <w:tab w:val="center" w:pos="4536"/>
        </w:tabs>
        <w:spacing w:line="360" w:lineRule="auto"/>
        <w:jc w:val="both"/>
        <w:rPr>
          <w:rFonts w:ascii="Times New Roman" w:hAnsi="Times New Roman" w:cs="Times New Roman"/>
          <w:b/>
          <w:sz w:val="24"/>
          <w:szCs w:val="24"/>
        </w:rPr>
      </w:pPr>
      <w:r w:rsidRPr="00695693">
        <w:rPr>
          <w:rFonts w:ascii="Times New Roman" w:hAnsi="Times New Roman" w:cs="Times New Roman"/>
          <w:b/>
          <w:sz w:val="24"/>
          <w:szCs w:val="24"/>
        </w:rPr>
        <w:t>C.</w:t>
      </w:r>
      <w:r w:rsidR="001375DF" w:rsidRPr="00695693">
        <w:rPr>
          <w:rFonts w:ascii="Times New Roman" w:hAnsi="Times New Roman" w:cs="Times New Roman"/>
          <w:b/>
          <w:sz w:val="24"/>
          <w:szCs w:val="24"/>
        </w:rPr>
        <w:t>les articles de doctrine</w:t>
      </w:r>
    </w:p>
    <w:p w:rsidR="000129CA" w:rsidRPr="00695693" w:rsidRDefault="000129CA" w:rsidP="00695693">
      <w:pPr>
        <w:pStyle w:val="Paragraphedeliste"/>
        <w:numPr>
          <w:ilvl w:val="0"/>
          <w:numId w:val="40"/>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BLANCHET D., « L’usage de la théorie de l’acte clair en droit communautaire : une hypothèse de mise en jeu de la responsabilité de l’Etat français du fait de la fonction juridictionnelle ? », </w:t>
      </w:r>
      <w:r w:rsidR="003C45FB" w:rsidRPr="003C45FB">
        <w:rPr>
          <w:rFonts w:ascii="Times New Roman" w:hAnsi="Times New Roman" w:cs="Times New Roman"/>
          <w:i/>
          <w:sz w:val="24"/>
          <w:szCs w:val="24"/>
        </w:rPr>
        <w:t>in</w:t>
      </w:r>
      <w:r w:rsidRPr="00695693">
        <w:rPr>
          <w:rFonts w:ascii="Times New Roman" w:hAnsi="Times New Roman" w:cs="Times New Roman"/>
          <w:i/>
          <w:sz w:val="24"/>
          <w:szCs w:val="24"/>
        </w:rPr>
        <w:t>Revue trimestrielle de droit européen</w:t>
      </w:r>
      <w:r w:rsidRPr="00695693">
        <w:rPr>
          <w:rFonts w:ascii="Times New Roman" w:hAnsi="Times New Roman" w:cs="Times New Roman"/>
          <w:sz w:val="24"/>
          <w:szCs w:val="24"/>
        </w:rPr>
        <w:t>, 2001, n°37, pp. 397-438.</w:t>
      </w:r>
    </w:p>
    <w:p w:rsidR="000129CA" w:rsidRPr="00695693" w:rsidRDefault="000129CA"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lastRenderedPageBreak/>
        <w:t xml:space="preserve">CALLET Clovis, « La fonction juridictionnelle à l’épreuve de la question préjudicielle- regard théorique sur les fonctions de la question préjudicielle », </w:t>
      </w:r>
      <w:r w:rsidR="003C45FB" w:rsidRPr="003C45FB">
        <w:rPr>
          <w:rFonts w:ascii="Times New Roman" w:hAnsi="Times New Roman" w:cs="Times New Roman"/>
          <w:i/>
          <w:sz w:val="24"/>
          <w:szCs w:val="24"/>
        </w:rPr>
        <w:t>in</w:t>
      </w:r>
      <w:r w:rsidRPr="00695693">
        <w:rPr>
          <w:rFonts w:ascii="Times New Roman" w:hAnsi="Times New Roman" w:cs="Times New Roman"/>
          <w:i/>
          <w:sz w:val="24"/>
          <w:szCs w:val="24"/>
        </w:rPr>
        <w:t>Revue jurisdoctoria</w:t>
      </w:r>
      <w:r w:rsidRPr="00695693">
        <w:rPr>
          <w:rFonts w:ascii="Times New Roman" w:hAnsi="Times New Roman" w:cs="Times New Roman"/>
          <w:sz w:val="24"/>
          <w:szCs w:val="24"/>
        </w:rPr>
        <w:t>, 2011, n°6, pp. 17-41.</w:t>
      </w:r>
    </w:p>
    <w:p w:rsidR="000129CA" w:rsidRPr="00695693" w:rsidRDefault="000129CA"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CANIVET Guy, « Le droit communautaire et l’office du juge national », </w:t>
      </w:r>
      <w:r w:rsidRPr="00695693">
        <w:rPr>
          <w:rFonts w:ascii="Times New Roman" w:hAnsi="Times New Roman" w:cs="Times New Roman"/>
          <w:i/>
          <w:sz w:val="24"/>
          <w:szCs w:val="24"/>
        </w:rPr>
        <w:t>in Droit et Société</w:t>
      </w:r>
      <w:r w:rsidRPr="00695693">
        <w:rPr>
          <w:rFonts w:ascii="Times New Roman" w:hAnsi="Times New Roman" w:cs="Times New Roman"/>
          <w:sz w:val="24"/>
          <w:szCs w:val="24"/>
        </w:rPr>
        <w:t>, 1992, n°20-21, pp. 133-141.</w:t>
      </w:r>
    </w:p>
    <w:p w:rsidR="000129CA" w:rsidRPr="00695693" w:rsidRDefault="000129CA"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JURGELAITIENE G., SIMANSKIS K., « Le renvoi préjudiciel dans un système des contentieux communautaires peut-il être un remède au déséquilibre de protection juridictionnelle à l’égard des requérants individuels ? », </w:t>
      </w:r>
      <w:r w:rsidR="003C45FB" w:rsidRPr="003C45FB">
        <w:rPr>
          <w:rFonts w:ascii="Times New Roman" w:hAnsi="Times New Roman" w:cs="Times New Roman"/>
          <w:i/>
          <w:sz w:val="24"/>
          <w:szCs w:val="24"/>
        </w:rPr>
        <w:t>in</w:t>
      </w:r>
      <w:r w:rsidRPr="00695693">
        <w:rPr>
          <w:rFonts w:ascii="Times New Roman" w:hAnsi="Times New Roman" w:cs="Times New Roman"/>
          <w:i/>
          <w:sz w:val="24"/>
          <w:szCs w:val="24"/>
        </w:rPr>
        <w:t>Current issues of business and law</w:t>
      </w:r>
      <w:r w:rsidRPr="00695693">
        <w:rPr>
          <w:rFonts w:ascii="Times New Roman" w:hAnsi="Times New Roman" w:cs="Times New Roman"/>
          <w:sz w:val="24"/>
          <w:szCs w:val="24"/>
        </w:rPr>
        <w:t>, 2009, vol. 3, pp. 170-193.</w:t>
      </w:r>
    </w:p>
    <w:p w:rsidR="000129CA" w:rsidRDefault="000129CA"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KAPRIELIAN Julie, « Le renvoi préjudiciel en droit de l’Union : un mécanisme assurant la protection juridictionnelle effective des individus ? », </w:t>
      </w:r>
      <w:r w:rsidR="003C45FB" w:rsidRPr="003C45FB">
        <w:rPr>
          <w:rFonts w:ascii="Times New Roman" w:hAnsi="Times New Roman" w:cs="Times New Roman"/>
          <w:i/>
          <w:sz w:val="24"/>
          <w:szCs w:val="24"/>
        </w:rPr>
        <w:t>in</w:t>
      </w:r>
      <w:r w:rsidRPr="00695693">
        <w:rPr>
          <w:rFonts w:ascii="Times New Roman" w:hAnsi="Times New Roman" w:cs="Times New Roman"/>
          <w:i/>
          <w:sz w:val="24"/>
          <w:szCs w:val="24"/>
        </w:rPr>
        <w:t>Revue Jurisdoctoria</w:t>
      </w:r>
      <w:r w:rsidRPr="00695693">
        <w:rPr>
          <w:rFonts w:ascii="Times New Roman" w:hAnsi="Times New Roman" w:cs="Times New Roman"/>
          <w:sz w:val="24"/>
          <w:szCs w:val="24"/>
        </w:rPr>
        <w:t>, 2011, n°6, pp. 75-98.</w:t>
      </w:r>
    </w:p>
    <w:p w:rsidR="00BA5772" w:rsidRPr="00695693" w:rsidRDefault="00BA5772" w:rsidP="00B85427">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BA5772">
        <w:rPr>
          <w:rFonts w:ascii="Times New Roman" w:hAnsi="Times New Roman" w:cs="Times New Roman"/>
          <w:sz w:val="24"/>
          <w:szCs w:val="24"/>
        </w:rPr>
        <w:t>KASSABO</w:t>
      </w:r>
      <w:r w:rsidR="00B85427" w:rsidRPr="00B85427">
        <w:rPr>
          <w:rFonts w:ascii="Times New Roman" w:hAnsi="Times New Roman" w:cs="Times New Roman"/>
          <w:sz w:val="24"/>
          <w:szCs w:val="24"/>
        </w:rPr>
        <w:t>Léon Dié</w:t>
      </w:r>
      <w:r w:rsidRPr="00BA5772">
        <w:rPr>
          <w:rFonts w:ascii="Times New Roman" w:hAnsi="Times New Roman" w:cs="Times New Roman"/>
          <w:sz w:val="24"/>
          <w:szCs w:val="24"/>
        </w:rPr>
        <w:t xml:space="preserve">, « Les nouvelles tendances de la protection diplomatique de l’individu en droit international », </w:t>
      </w:r>
      <w:r w:rsidR="003C45FB" w:rsidRPr="003C45FB">
        <w:rPr>
          <w:rFonts w:ascii="Times New Roman" w:hAnsi="Times New Roman" w:cs="Times New Roman"/>
          <w:i/>
          <w:sz w:val="24"/>
          <w:szCs w:val="24"/>
        </w:rPr>
        <w:t>in</w:t>
      </w:r>
      <w:r w:rsidRPr="00B85427">
        <w:rPr>
          <w:rFonts w:ascii="Times New Roman" w:hAnsi="Times New Roman" w:cs="Times New Roman"/>
          <w:i/>
          <w:sz w:val="24"/>
          <w:szCs w:val="24"/>
        </w:rPr>
        <w:t>Revue du CAMES/SJP</w:t>
      </w:r>
      <w:r w:rsidRPr="00BA5772">
        <w:rPr>
          <w:rFonts w:ascii="Times New Roman" w:hAnsi="Times New Roman" w:cs="Times New Roman"/>
          <w:sz w:val="24"/>
          <w:szCs w:val="24"/>
        </w:rPr>
        <w:t xml:space="preserve">, 2015 (1er </w:t>
      </w:r>
      <w:r w:rsidR="00B85427">
        <w:rPr>
          <w:rFonts w:ascii="Times New Roman" w:hAnsi="Times New Roman" w:cs="Times New Roman"/>
          <w:sz w:val="24"/>
          <w:szCs w:val="24"/>
        </w:rPr>
        <w:t>semestre), n°001, pp. 37-63.</w:t>
      </w:r>
    </w:p>
    <w:p w:rsidR="000129CA" w:rsidRPr="00695693" w:rsidRDefault="000129CA"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KRENC Frédéric, « La comparaison des systèmes de procédure communautaire avec ceux de la convention européenne des droits de l’homme », </w:t>
      </w:r>
      <w:r w:rsidR="003C45FB" w:rsidRPr="003C45FB">
        <w:rPr>
          <w:rFonts w:ascii="Times New Roman" w:hAnsi="Times New Roman" w:cs="Times New Roman"/>
          <w:i/>
          <w:sz w:val="24"/>
          <w:szCs w:val="24"/>
        </w:rPr>
        <w:t>in</w:t>
      </w:r>
      <w:r w:rsidRPr="00695693">
        <w:rPr>
          <w:rFonts w:ascii="Times New Roman" w:hAnsi="Times New Roman" w:cs="Times New Roman"/>
          <w:i/>
          <w:sz w:val="24"/>
          <w:szCs w:val="24"/>
        </w:rPr>
        <w:t>Revue trimestrielle des droits de l’homme</w:t>
      </w:r>
      <w:r w:rsidRPr="00695693">
        <w:rPr>
          <w:rFonts w:ascii="Times New Roman" w:hAnsi="Times New Roman" w:cs="Times New Roman"/>
          <w:sz w:val="24"/>
          <w:szCs w:val="24"/>
        </w:rPr>
        <w:t>, 2004, n°57, pp. 111-140.</w:t>
      </w:r>
    </w:p>
    <w:p w:rsidR="00A20416" w:rsidRDefault="000129CA" w:rsidP="00A20416">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LEPOUTRE Naiké, « Le renvoi préjudiciel et l’instauration d’un dialogue des juges- le cas de la Cour de Justice de l’Union européenne et du juge administratif français », </w:t>
      </w:r>
      <w:r w:rsidR="003C45FB" w:rsidRPr="003C45FB">
        <w:rPr>
          <w:rFonts w:ascii="Times New Roman" w:hAnsi="Times New Roman" w:cs="Times New Roman"/>
          <w:i/>
          <w:sz w:val="24"/>
          <w:szCs w:val="24"/>
        </w:rPr>
        <w:t>in</w:t>
      </w:r>
      <w:r w:rsidRPr="00695693">
        <w:rPr>
          <w:rFonts w:ascii="Times New Roman" w:hAnsi="Times New Roman" w:cs="Times New Roman"/>
          <w:i/>
          <w:sz w:val="24"/>
          <w:szCs w:val="24"/>
        </w:rPr>
        <w:t>Revue Jurisdoctoria</w:t>
      </w:r>
      <w:r w:rsidRPr="00695693">
        <w:rPr>
          <w:rFonts w:ascii="Times New Roman" w:hAnsi="Times New Roman" w:cs="Times New Roman"/>
          <w:sz w:val="24"/>
          <w:szCs w:val="24"/>
        </w:rPr>
        <w:t>, 2011, n°6, pp. 43-70.</w:t>
      </w:r>
    </w:p>
    <w:p w:rsidR="00E43005" w:rsidRPr="00A20416" w:rsidRDefault="00E43005" w:rsidP="00E43005">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E43005">
        <w:rPr>
          <w:rFonts w:ascii="Times New Roman" w:hAnsi="Times New Roman" w:cs="Times New Roman"/>
          <w:sz w:val="24"/>
          <w:szCs w:val="24"/>
        </w:rPr>
        <w:tab/>
        <w:t xml:space="preserve">MBENGUE Mouhamadou Moustapha, « La suprématie des normes communautaires sur les normes nationales à l’UEMOA et à l’OHADA », </w:t>
      </w:r>
      <w:r w:rsidRPr="00E43005">
        <w:rPr>
          <w:rFonts w:ascii="Times New Roman" w:hAnsi="Times New Roman" w:cs="Times New Roman"/>
          <w:i/>
          <w:sz w:val="24"/>
          <w:szCs w:val="24"/>
        </w:rPr>
        <w:t>in Association Africa 21</w:t>
      </w:r>
      <w:r>
        <w:rPr>
          <w:rFonts w:ascii="Times New Roman" w:hAnsi="Times New Roman" w:cs="Times New Roman"/>
          <w:sz w:val="24"/>
          <w:szCs w:val="24"/>
        </w:rPr>
        <w:t>, 2013, n°3, pp. 1-8.</w:t>
      </w:r>
    </w:p>
    <w:p w:rsidR="00C446CC" w:rsidRDefault="00C446CC"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MESSOUDI Hada, « Le dialogue après la bataille ? : Le nouvel équilibre des questions préjudicielle », </w:t>
      </w:r>
      <w:r w:rsidR="003C45FB" w:rsidRPr="003C45FB">
        <w:rPr>
          <w:rFonts w:ascii="Times New Roman" w:hAnsi="Times New Roman" w:cs="Times New Roman"/>
          <w:i/>
          <w:sz w:val="24"/>
          <w:szCs w:val="24"/>
        </w:rPr>
        <w:t>in</w:t>
      </w:r>
      <w:r w:rsidRPr="00C446CC">
        <w:rPr>
          <w:rFonts w:ascii="Times New Roman" w:hAnsi="Times New Roman" w:cs="Times New Roman"/>
          <w:i/>
          <w:sz w:val="24"/>
          <w:szCs w:val="24"/>
        </w:rPr>
        <w:t>Revue générale du droit</w:t>
      </w:r>
      <w:r>
        <w:rPr>
          <w:rFonts w:ascii="Times New Roman" w:hAnsi="Times New Roman" w:cs="Times New Roman"/>
          <w:sz w:val="24"/>
          <w:szCs w:val="24"/>
        </w:rPr>
        <w:t>, 2016, pp. 1-18.</w:t>
      </w:r>
    </w:p>
    <w:p w:rsidR="002F4D78" w:rsidRDefault="002F4D78"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Pr>
          <w:rFonts w:ascii="Times New Roman" w:hAnsi="Times New Roman" w:cs="Times New Roman"/>
          <w:sz w:val="24"/>
          <w:szCs w:val="24"/>
        </w:rPr>
        <w:t>MEHDI Rostane et</w:t>
      </w:r>
      <w:r w:rsidR="000E1634">
        <w:rPr>
          <w:rFonts w:ascii="Times New Roman" w:hAnsi="Times New Roman" w:cs="Times New Roman"/>
          <w:sz w:val="24"/>
          <w:szCs w:val="24"/>
        </w:rPr>
        <w:t xml:space="preserve"> LABAYLE Henri, « Dédale au Conseil d’Etat : QPC et renvoi préjudiciel dans l’arrêt Jacob », </w:t>
      </w:r>
      <w:r w:rsidR="003C45FB" w:rsidRPr="003C45FB">
        <w:rPr>
          <w:rFonts w:ascii="Times New Roman" w:hAnsi="Times New Roman" w:cs="Times New Roman"/>
          <w:i/>
          <w:sz w:val="24"/>
          <w:szCs w:val="24"/>
        </w:rPr>
        <w:t>in</w:t>
      </w:r>
      <w:r w:rsidR="000E1634" w:rsidRPr="000E1634">
        <w:rPr>
          <w:rFonts w:ascii="Times New Roman" w:hAnsi="Times New Roman" w:cs="Times New Roman"/>
          <w:i/>
          <w:sz w:val="24"/>
          <w:szCs w:val="24"/>
        </w:rPr>
        <w:t>Revue française  de droit administratif</w:t>
      </w:r>
      <w:r w:rsidR="000E1634">
        <w:rPr>
          <w:rFonts w:ascii="Times New Roman" w:hAnsi="Times New Roman" w:cs="Times New Roman"/>
          <w:sz w:val="24"/>
          <w:szCs w:val="24"/>
        </w:rPr>
        <w:t>, Dalloz, 2016, pp. 1-20.</w:t>
      </w:r>
    </w:p>
    <w:p w:rsidR="00B631C5" w:rsidRPr="00B631C5" w:rsidRDefault="00B631C5" w:rsidP="00B631C5">
      <w:pPr>
        <w:pStyle w:val="Paragraphedeliste"/>
        <w:numPr>
          <w:ilvl w:val="0"/>
          <w:numId w:val="34"/>
        </w:numPr>
        <w:rPr>
          <w:rFonts w:ascii="Times New Roman" w:hAnsi="Times New Roman" w:cs="Times New Roman"/>
          <w:sz w:val="24"/>
          <w:szCs w:val="24"/>
        </w:rPr>
      </w:pPr>
      <w:r w:rsidRPr="00B631C5">
        <w:rPr>
          <w:rFonts w:ascii="Times New Roman" w:hAnsi="Times New Roman" w:cs="Times New Roman"/>
          <w:sz w:val="24"/>
          <w:szCs w:val="24"/>
        </w:rPr>
        <w:t xml:space="preserve">MOUMOUNI Ibrahim, « Le principe de la rétroactivité des lois pénales plus douces : une rupture de l’égalité devant la loi entre délinquants ? », </w:t>
      </w:r>
      <w:r w:rsidR="003C45FB" w:rsidRPr="003C45FB">
        <w:rPr>
          <w:rFonts w:ascii="Times New Roman" w:hAnsi="Times New Roman" w:cs="Times New Roman"/>
          <w:i/>
          <w:sz w:val="24"/>
          <w:szCs w:val="24"/>
        </w:rPr>
        <w:t>in</w:t>
      </w:r>
      <w:r w:rsidRPr="00B631C5">
        <w:rPr>
          <w:rFonts w:ascii="Times New Roman" w:hAnsi="Times New Roman" w:cs="Times New Roman"/>
          <w:i/>
          <w:sz w:val="24"/>
          <w:szCs w:val="24"/>
        </w:rPr>
        <w:t>Revue internationale de droit pénal</w:t>
      </w:r>
      <w:r w:rsidRPr="00B631C5">
        <w:rPr>
          <w:rFonts w:ascii="Times New Roman" w:hAnsi="Times New Roman" w:cs="Times New Roman"/>
          <w:sz w:val="24"/>
          <w:szCs w:val="24"/>
        </w:rPr>
        <w:t>, 2012/1 (Vol. 83), pp. 173-194.</w:t>
      </w:r>
    </w:p>
    <w:p w:rsidR="000129CA" w:rsidRPr="00695693" w:rsidRDefault="000129CA"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lastRenderedPageBreak/>
        <w:t xml:space="preserve">SARR Babacar, « L’implication du juge national dans la mise en œuvre de la règle communautaire », </w:t>
      </w:r>
      <w:r w:rsidRPr="00695693">
        <w:rPr>
          <w:rFonts w:ascii="Times New Roman" w:hAnsi="Times New Roman" w:cs="Times New Roman"/>
          <w:i/>
          <w:sz w:val="24"/>
          <w:szCs w:val="24"/>
        </w:rPr>
        <w:t>in nouvelles annales africaines</w:t>
      </w:r>
      <w:r w:rsidRPr="00695693">
        <w:rPr>
          <w:rFonts w:ascii="Times New Roman" w:hAnsi="Times New Roman" w:cs="Times New Roman"/>
          <w:sz w:val="24"/>
          <w:szCs w:val="24"/>
        </w:rPr>
        <w:t xml:space="preserve">, </w:t>
      </w:r>
      <w:r w:rsidRPr="00695693">
        <w:rPr>
          <w:rFonts w:ascii="Times New Roman" w:hAnsi="Times New Roman" w:cs="Times New Roman"/>
          <w:i/>
          <w:sz w:val="24"/>
          <w:szCs w:val="24"/>
        </w:rPr>
        <w:t>Revue de la faculté des sciences juridiques et politiques de Dakar</w:t>
      </w:r>
      <w:r w:rsidRPr="00695693">
        <w:rPr>
          <w:rFonts w:ascii="Times New Roman" w:hAnsi="Times New Roman" w:cs="Times New Roman"/>
          <w:sz w:val="24"/>
          <w:szCs w:val="24"/>
        </w:rPr>
        <w:t>, 2007, n°1, pp. 207-230.</w:t>
      </w:r>
    </w:p>
    <w:p w:rsidR="000129CA" w:rsidRPr="00695693" w:rsidRDefault="000129CA"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SOMA Abdoulaye, « Le jeu des protocoles dans le processus juridique de construction d’une Cour africaine de protection des droits de l’homme », </w:t>
      </w:r>
      <w:r w:rsidR="003C45FB" w:rsidRPr="003C45FB">
        <w:rPr>
          <w:rFonts w:ascii="Times New Roman" w:hAnsi="Times New Roman" w:cs="Times New Roman"/>
          <w:i/>
          <w:sz w:val="24"/>
          <w:szCs w:val="24"/>
        </w:rPr>
        <w:t>in</w:t>
      </w:r>
      <w:r w:rsidRPr="00695693">
        <w:rPr>
          <w:rFonts w:ascii="Times New Roman" w:hAnsi="Times New Roman" w:cs="Times New Roman"/>
          <w:i/>
          <w:sz w:val="24"/>
          <w:szCs w:val="24"/>
        </w:rPr>
        <w:t>Revue du CAMES/SJP</w:t>
      </w:r>
      <w:r w:rsidRPr="00695693">
        <w:rPr>
          <w:rFonts w:ascii="Times New Roman" w:hAnsi="Times New Roman" w:cs="Times New Roman"/>
          <w:sz w:val="24"/>
          <w:szCs w:val="24"/>
        </w:rPr>
        <w:t>, 2015, n°002, pp. 1-18.</w:t>
      </w:r>
    </w:p>
    <w:p w:rsidR="000129CA" w:rsidRPr="00695693" w:rsidRDefault="000129CA"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SOMA Abdoulaye, « Les caractères généraux du droit communautaire », </w:t>
      </w:r>
      <w:r w:rsidR="003C45FB" w:rsidRPr="003C45FB">
        <w:rPr>
          <w:rFonts w:ascii="Times New Roman" w:hAnsi="Times New Roman" w:cs="Times New Roman"/>
          <w:i/>
          <w:sz w:val="24"/>
          <w:szCs w:val="24"/>
        </w:rPr>
        <w:t>in</w:t>
      </w:r>
      <w:r w:rsidRPr="00695693">
        <w:rPr>
          <w:rFonts w:ascii="Times New Roman" w:hAnsi="Times New Roman" w:cs="Times New Roman"/>
          <w:i/>
          <w:sz w:val="24"/>
          <w:szCs w:val="24"/>
        </w:rPr>
        <w:t>Revue CAMES/SJP</w:t>
      </w:r>
      <w:r w:rsidRPr="00695693">
        <w:rPr>
          <w:rFonts w:ascii="Times New Roman" w:hAnsi="Times New Roman" w:cs="Times New Roman"/>
          <w:sz w:val="24"/>
          <w:szCs w:val="24"/>
        </w:rPr>
        <w:t>, 2017, n°001, pp. 1-10.</w:t>
      </w:r>
    </w:p>
    <w:p w:rsidR="000129CA" w:rsidRPr="00695693" w:rsidRDefault="000129CA"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SOMA Abdoulaye, « Modélisation d’un système de justice constitutionnelle pour une meilleure protection des droits de l’homme : Trans-constitutionnalisme et Droit constitutionnel comparé », </w:t>
      </w:r>
      <w:r w:rsidR="003C45FB" w:rsidRPr="003C45FB">
        <w:rPr>
          <w:rFonts w:ascii="Times New Roman" w:hAnsi="Times New Roman" w:cs="Times New Roman"/>
          <w:i/>
          <w:sz w:val="24"/>
          <w:szCs w:val="24"/>
        </w:rPr>
        <w:t>in</w:t>
      </w:r>
      <w:r w:rsidRPr="00695693">
        <w:rPr>
          <w:rFonts w:ascii="Times New Roman" w:hAnsi="Times New Roman" w:cs="Times New Roman"/>
          <w:i/>
          <w:sz w:val="24"/>
          <w:szCs w:val="24"/>
        </w:rPr>
        <w:t>Revue trimestrielle des droits de l’homme</w:t>
      </w:r>
      <w:r w:rsidRPr="00695693">
        <w:rPr>
          <w:rFonts w:ascii="Times New Roman" w:hAnsi="Times New Roman" w:cs="Times New Roman"/>
          <w:sz w:val="24"/>
          <w:szCs w:val="24"/>
        </w:rPr>
        <w:t>, 2009, n°78, Vol. 20, pp. 437-466.</w:t>
      </w:r>
    </w:p>
    <w:p w:rsidR="000129CA" w:rsidRPr="00695693" w:rsidRDefault="000129CA"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SOMA/KABORE Valérie, « L’évolution du statut de l’individu en droit international », </w:t>
      </w:r>
      <w:r w:rsidR="003C45FB" w:rsidRPr="003C45FB">
        <w:rPr>
          <w:rFonts w:ascii="Times New Roman" w:hAnsi="Times New Roman" w:cs="Times New Roman"/>
          <w:i/>
          <w:sz w:val="24"/>
          <w:szCs w:val="24"/>
        </w:rPr>
        <w:t>in</w:t>
      </w:r>
      <w:r w:rsidRPr="00695693">
        <w:rPr>
          <w:rFonts w:ascii="Times New Roman" w:hAnsi="Times New Roman" w:cs="Times New Roman"/>
          <w:i/>
          <w:sz w:val="24"/>
          <w:szCs w:val="24"/>
        </w:rPr>
        <w:t>Revue CAMES/SJP</w:t>
      </w:r>
      <w:r w:rsidRPr="00695693">
        <w:rPr>
          <w:rFonts w:ascii="Times New Roman" w:hAnsi="Times New Roman" w:cs="Times New Roman"/>
          <w:sz w:val="24"/>
          <w:szCs w:val="24"/>
        </w:rPr>
        <w:t>, 2015 (1er Semestre), n°001, pp. 15-36.</w:t>
      </w:r>
    </w:p>
    <w:p w:rsidR="000129CA" w:rsidRPr="00695693" w:rsidRDefault="000129CA"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TATY George, « La procédure de renvoi préjudiciel en droit communautaire », </w:t>
      </w:r>
      <w:r w:rsidR="003C45FB" w:rsidRPr="003C45FB">
        <w:rPr>
          <w:rFonts w:ascii="Times New Roman" w:hAnsi="Times New Roman" w:cs="Times New Roman"/>
          <w:i/>
          <w:sz w:val="24"/>
          <w:szCs w:val="24"/>
        </w:rPr>
        <w:t>in</w:t>
      </w:r>
      <w:r w:rsidRPr="00695693">
        <w:rPr>
          <w:rFonts w:ascii="Times New Roman" w:hAnsi="Times New Roman" w:cs="Times New Roman"/>
          <w:i/>
          <w:sz w:val="24"/>
          <w:szCs w:val="24"/>
        </w:rPr>
        <w:t>Revue de Droit uniforme Africain/ Actualité Trimestrielle de Droit et de jurisprudence</w:t>
      </w:r>
      <w:r w:rsidRPr="00695693">
        <w:rPr>
          <w:rFonts w:ascii="Times New Roman" w:hAnsi="Times New Roman" w:cs="Times New Roman"/>
          <w:sz w:val="24"/>
          <w:szCs w:val="24"/>
        </w:rPr>
        <w:t>, 2011, n°004, pp. 28-38.</w:t>
      </w:r>
    </w:p>
    <w:p w:rsidR="00694424" w:rsidRPr="00695693" w:rsidRDefault="00FE1F69" w:rsidP="00695693">
      <w:pPr>
        <w:tabs>
          <w:tab w:val="center" w:pos="4536"/>
        </w:tabs>
        <w:spacing w:line="360" w:lineRule="auto"/>
        <w:jc w:val="both"/>
        <w:rPr>
          <w:rFonts w:ascii="Times New Roman" w:hAnsi="Times New Roman" w:cs="Times New Roman"/>
          <w:b/>
          <w:sz w:val="24"/>
          <w:szCs w:val="24"/>
        </w:rPr>
      </w:pPr>
      <w:r w:rsidRPr="00695693">
        <w:rPr>
          <w:rFonts w:ascii="Times New Roman" w:hAnsi="Times New Roman" w:cs="Times New Roman"/>
          <w:b/>
          <w:sz w:val="24"/>
          <w:szCs w:val="24"/>
        </w:rPr>
        <w:t xml:space="preserve">         D</w:t>
      </w:r>
      <w:r w:rsidR="00694424" w:rsidRPr="00695693">
        <w:rPr>
          <w:rFonts w:ascii="Times New Roman" w:hAnsi="Times New Roman" w:cs="Times New Roman"/>
          <w:b/>
          <w:sz w:val="24"/>
          <w:szCs w:val="24"/>
        </w:rPr>
        <w:t xml:space="preserve">. </w:t>
      </w:r>
      <w:r w:rsidR="001375DF" w:rsidRPr="00695693">
        <w:rPr>
          <w:rFonts w:ascii="Times New Roman" w:hAnsi="Times New Roman" w:cs="Times New Roman"/>
          <w:b/>
          <w:sz w:val="24"/>
          <w:szCs w:val="24"/>
        </w:rPr>
        <w:t>communications, rapports</w:t>
      </w:r>
      <w:r w:rsidR="000B3FD2">
        <w:rPr>
          <w:rFonts w:ascii="Times New Roman" w:hAnsi="Times New Roman" w:cs="Times New Roman"/>
          <w:b/>
          <w:sz w:val="24"/>
          <w:szCs w:val="24"/>
        </w:rPr>
        <w:t>,</w:t>
      </w:r>
      <w:r w:rsidR="00706629">
        <w:rPr>
          <w:rFonts w:ascii="Times New Roman" w:hAnsi="Times New Roman" w:cs="Times New Roman"/>
          <w:b/>
          <w:sz w:val="24"/>
          <w:szCs w:val="24"/>
        </w:rPr>
        <w:t xml:space="preserve">Séminaires </w:t>
      </w:r>
      <w:r w:rsidR="001375DF" w:rsidRPr="00695693">
        <w:rPr>
          <w:rFonts w:ascii="Times New Roman" w:hAnsi="Times New Roman" w:cs="Times New Roman"/>
          <w:b/>
          <w:sz w:val="24"/>
          <w:szCs w:val="24"/>
        </w:rPr>
        <w:t>et actes de colloque</w:t>
      </w:r>
    </w:p>
    <w:p w:rsidR="00E85DF0" w:rsidRDefault="00694424" w:rsidP="00E85DF0">
      <w:pPr>
        <w:pStyle w:val="Paragraphedeliste"/>
        <w:numPr>
          <w:ilvl w:val="0"/>
          <w:numId w:val="45"/>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BURGORGUE-LARSEN Laurence, « Le fait régional dans la juridictionnalisation du droit international », Colloque de Lille, </w:t>
      </w:r>
      <w:r w:rsidR="004C3996" w:rsidRPr="00695693">
        <w:rPr>
          <w:rFonts w:ascii="Times New Roman" w:hAnsi="Times New Roman" w:cs="Times New Roman"/>
          <w:sz w:val="24"/>
          <w:szCs w:val="24"/>
        </w:rPr>
        <w:t>SFDI, Paris, A. Pedone, 2003, pp</w:t>
      </w:r>
      <w:r w:rsidRPr="00695693">
        <w:rPr>
          <w:rFonts w:ascii="Times New Roman" w:hAnsi="Times New Roman" w:cs="Times New Roman"/>
          <w:sz w:val="24"/>
          <w:szCs w:val="24"/>
        </w:rPr>
        <w:t>. 203-248.</w:t>
      </w:r>
    </w:p>
    <w:p w:rsidR="00882915" w:rsidRPr="00E85DF0" w:rsidRDefault="00882915" w:rsidP="00E85DF0">
      <w:pPr>
        <w:pStyle w:val="Paragraphedeliste"/>
        <w:numPr>
          <w:ilvl w:val="0"/>
          <w:numId w:val="45"/>
        </w:numPr>
        <w:tabs>
          <w:tab w:val="center" w:pos="4536"/>
        </w:tabs>
        <w:spacing w:line="360" w:lineRule="auto"/>
        <w:jc w:val="both"/>
        <w:rPr>
          <w:rFonts w:ascii="Times New Roman" w:hAnsi="Times New Roman" w:cs="Times New Roman"/>
          <w:sz w:val="24"/>
          <w:szCs w:val="24"/>
        </w:rPr>
      </w:pPr>
      <w:r>
        <w:rPr>
          <w:rFonts w:ascii="Times New Roman" w:hAnsi="Times New Roman" w:cs="Times New Roman"/>
          <w:sz w:val="24"/>
          <w:szCs w:val="24"/>
        </w:rPr>
        <w:t>CHRISTIANOS dr. v. A., « Le renvoi préjudiciel</w:t>
      </w:r>
      <w:r w:rsidR="00322114">
        <w:rPr>
          <w:rFonts w:ascii="Times New Roman" w:hAnsi="Times New Roman" w:cs="Times New Roman"/>
          <w:sz w:val="24"/>
          <w:szCs w:val="24"/>
        </w:rPr>
        <w:t xml:space="preserve"> et le rôle du juge national », communication rendue en 2009, pp. 1-6, accessible en ligne à l’adresse suivante : </w:t>
      </w:r>
      <w:hyperlink r:id="rId11" w:history="1">
        <w:r w:rsidR="00322114" w:rsidRPr="00AE18FD">
          <w:rPr>
            <w:rStyle w:val="Lienhypertexte"/>
            <w:rFonts w:ascii="Times New Roman" w:hAnsi="Times New Roman" w:cs="Times New Roman"/>
            <w:sz w:val="24"/>
            <w:szCs w:val="24"/>
          </w:rPr>
          <w:t>https://www.era-comm.eu</w:t>
        </w:r>
      </w:hyperlink>
      <w:r w:rsidR="00322114">
        <w:rPr>
          <w:rFonts w:ascii="Times New Roman" w:hAnsi="Times New Roman" w:cs="Times New Roman"/>
          <w:sz w:val="24"/>
          <w:szCs w:val="24"/>
        </w:rPr>
        <w:t xml:space="preserve"> , consulté le 27 Avril 2017.</w:t>
      </w:r>
    </w:p>
    <w:p w:rsidR="00694424" w:rsidRPr="00695693" w:rsidRDefault="00694424" w:rsidP="00695693">
      <w:pPr>
        <w:pStyle w:val="Paragraphedeliste"/>
        <w:numPr>
          <w:ilvl w:val="0"/>
          <w:numId w:val="45"/>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DJERI-ALASSANI Bougonou, « Le développement et la mise en œuvre du droit de l’environnement par les institutions internationales et communautaires : cas de la Communauté des Etats de l’Afrique de l’Ouest (CEDEAO/ECOWAS) », Colloque international sur le droit de l’environnement en Afrique, Abidjan, 29 au 31 Octobre 2013, accessible en ligne sur : </w:t>
      </w:r>
      <w:hyperlink r:id="rId12" w:history="1">
        <w:r w:rsidRPr="00695693">
          <w:rPr>
            <w:rStyle w:val="Lienhypertexte"/>
            <w:rFonts w:ascii="Times New Roman" w:hAnsi="Times New Roman" w:cs="Times New Roman"/>
            <w:sz w:val="24"/>
            <w:szCs w:val="24"/>
          </w:rPr>
          <w:t>https://cmsdata.iucn.org</w:t>
        </w:r>
      </w:hyperlink>
      <w:r w:rsidRPr="00695693">
        <w:rPr>
          <w:rFonts w:ascii="Times New Roman" w:hAnsi="Times New Roman" w:cs="Times New Roman"/>
          <w:sz w:val="24"/>
          <w:szCs w:val="24"/>
        </w:rPr>
        <w:t xml:space="preserve"> , consulté le 05 mars 2017.</w:t>
      </w:r>
    </w:p>
    <w:p w:rsidR="006D635B" w:rsidRPr="00695693" w:rsidRDefault="006D635B" w:rsidP="00695693">
      <w:pPr>
        <w:pStyle w:val="Paragraphedeliste"/>
        <w:numPr>
          <w:ilvl w:val="0"/>
          <w:numId w:val="45"/>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FALL Daouda et autres, « Les libertés dans</w:t>
      </w:r>
      <w:r w:rsidR="007671F8" w:rsidRPr="00695693">
        <w:rPr>
          <w:rFonts w:ascii="Times New Roman" w:hAnsi="Times New Roman" w:cs="Times New Roman"/>
          <w:sz w:val="24"/>
          <w:szCs w:val="24"/>
        </w:rPr>
        <w:t xml:space="preserve"> les politiques publiques de sécurité : rôle de l’Avocat », </w:t>
      </w:r>
      <w:r w:rsidR="007671F8" w:rsidRPr="00695693">
        <w:rPr>
          <w:rFonts w:ascii="Times New Roman" w:hAnsi="Times New Roman" w:cs="Times New Roman"/>
          <w:i/>
          <w:sz w:val="24"/>
          <w:szCs w:val="24"/>
        </w:rPr>
        <w:t>in Bulletin du Barreau du Faso</w:t>
      </w:r>
      <w:r w:rsidR="007671F8" w:rsidRPr="00695693">
        <w:rPr>
          <w:rFonts w:ascii="Times New Roman" w:hAnsi="Times New Roman" w:cs="Times New Roman"/>
          <w:sz w:val="24"/>
          <w:szCs w:val="24"/>
        </w:rPr>
        <w:t xml:space="preserve">, rentrée solennelle 2017, </w:t>
      </w:r>
      <w:r w:rsidR="00DD2033" w:rsidRPr="00695693">
        <w:rPr>
          <w:rFonts w:ascii="Times New Roman" w:hAnsi="Times New Roman" w:cs="Times New Roman"/>
          <w:sz w:val="24"/>
          <w:szCs w:val="24"/>
        </w:rPr>
        <w:t>pp</w:t>
      </w:r>
      <w:r w:rsidR="007671F8" w:rsidRPr="00695693">
        <w:rPr>
          <w:rFonts w:ascii="Times New Roman" w:hAnsi="Times New Roman" w:cs="Times New Roman"/>
          <w:sz w:val="24"/>
          <w:szCs w:val="24"/>
        </w:rPr>
        <w:t>. 1-76.</w:t>
      </w:r>
    </w:p>
    <w:p w:rsidR="00694424" w:rsidRPr="00695693" w:rsidRDefault="00694424" w:rsidP="00695693">
      <w:pPr>
        <w:pStyle w:val="Paragraphedeliste"/>
        <w:numPr>
          <w:ilvl w:val="0"/>
          <w:numId w:val="45"/>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lastRenderedPageBreak/>
        <w:t xml:space="preserve">GAUTRON Jean-Claude, « Le renvoi préjudiciel. Changements et Continuité », accessible en ligne à l’adresse suivante : </w:t>
      </w:r>
      <w:hyperlink r:id="rId13" w:history="1">
        <w:r w:rsidRPr="00695693">
          <w:rPr>
            <w:rStyle w:val="Lienhypertexte"/>
            <w:rFonts w:ascii="Times New Roman" w:hAnsi="Times New Roman" w:cs="Times New Roman"/>
            <w:sz w:val="24"/>
            <w:szCs w:val="24"/>
          </w:rPr>
          <w:t>http://www.eubg.eu</w:t>
        </w:r>
      </w:hyperlink>
      <w:r w:rsidRPr="00695693">
        <w:rPr>
          <w:rFonts w:ascii="Times New Roman" w:hAnsi="Times New Roman" w:cs="Times New Roman"/>
          <w:sz w:val="24"/>
          <w:szCs w:val="24"/>
        </w:rPr>
        <w:t xml:space="preserve"> , consulté le 30 mai 2017.</w:t>
      </w:r>
    </w:p>
    <w:p w:rsidR="00694424" w:rsidRPr="00695693" w:rsidRDefault="00694424" w:rsidP="00695693">
      <w:pPr>
        <w:pStyle w:val="Paragraphedeliste"/>
        <w:numPr>
          <w:ilvl w:val="0"/>
          <w:numId w:val="45"/>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GROJEAN Alain, « La recevabilité du renvoi préjudiciel et reformulation par la Cour de Justice de l’Union européenne », </w:t>
      </w:r>
      <w:r w:rsidRPr="00695693">
        <w:rPr>
          <w:rFonts w:ascii="Times New Roman" w:hAnsi="Times New Roman" w:cs="Times New Roman"/>
          <w:i/>
          <w:sz w:val="24"/>
          <w:szCs w:val="24"/>
        </w:rPr>
        <w:t>Séminaire UIA de Sofia</w:t>
      </w:r>
      <w:r w:rsidRPr="00695693">
        <w:rPr>
          <w:rFonts w:ascii="Times New Roman" w:hAnsi="Times New Roman" w:cs="Times New Roman"/>
          <w:sz w:val="24"/>
          <w:szCs w:val="24"/>
        </w:rPr>
        <w:t>, organis</w:t>
      </w:r>
      <w:r w:rsidR="00DD2033" w:rsidRPr="00695693">
        <w:rPr>
          <w:rFonts w:ascii="Times New Roman" w:hAnsi="Times New Roman" w:cs="Times New Roman"/>
          <w:sz w:val="24"/>
          <w:szCs w:val="24"/>
        </w:rPr>
        <w:t>é le 25 et 26 Septembre 2015, pp</w:t>
      </w:r>
      <w:r w:rsidRPr="00695693">
        <w:rPr>
          <w:rFonts w:ascii="Times New Roman" w:hAnsi="Times New Roman" w:cs="Times New Roman"/>
          <w:sz w:val="24"/>
          <w:szCs w:val="24"/>
        </w:rPr>
        <w:t xml:space="preserve">. 1-7, accessible en ligne sur : </w:t>
      </w:r>
      <w:hyperlink r:id="rId14" w:history="1">
        <w:r w:rsidRPr="00695693">
          <w:rPr>
            <w:rStyle w:val="Lienhypertexte"/>
            <w:rFonts w:ascii="Times New Roman" w:hAnsi="Times New Roman" w:cs="Times New Roman"/>
            <w:sz w:val="24"/>
            <w:szCs w:val="24"/>
          </w:rPr>
          <w:t>https://www.google.com</w:t>
        </w:r>
      </w:hyperlink>
      <w:r w:rsidRPr="00695693">
        <w:rPr>
          <w:rFonts w:ascii="Times New Roman" w:hAnsi="Times New Roman" w:cs="Times New Roman"/>
          <w:sz w:val="24"/>
          <w:szCs w:val="24"/>
        </w:rPr>
        <w:t xml:space="preserve"> , consulté le 25 Juillet 2017.</w:t>
      </w:r>
    </w:p>
    <w:p w:rsidR="00694424" w:rsidRDefault="00694424" w:rsidP="00695693">
      <w:pPr>
        <w:pStyle w:val="Paragraphedeliste"/>
        <w:numPr>
          <w:ilvl w:val="0"/>
          <w:numId w:val="45"/>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Guide Pratique pour la mise en œuvre du droit communautaire, projet réalisé grâce au soutien de la Commission européenne dans le cadre de l’action Robert Schuman de sensibilisation des professions juridiques au droit </w:t>
      </w:r>
      <w:r w:rsidR="00DD2033" w:rsidRPr="00695693">
        <w:rPr>
          <w:rFonts w:ascii="Times New Roman" w:hAnsi="Times New Roman" w:cs="Times New Roman"/>
          <w:sz w:val="24"/>
          <w:szCs w:val="24"/>
        </w:rPr>
        <w:t xml:space="preserve">communautaire, pp. </w:t>
      </w:r>
      <w:r w:rsidRPr="00695693">
        <w:rPr>
          <w:rFonts w:ascii="Times New Roman" w:hAnsi="Times New Roman" w:cs="Times New Roman"/>
          <w:sz w:val="24"/>
          <w:szCs w:val="24"/>
        </w:rPr>
        <w:t xml:space="preserve">1-170, disponible sur : </w:t>
      </w:r>
      <w:hyperlink r:id="rId15" w:history="1">
        <w:r w:rsidRPr="00695693">
          <w:rPr>
            <w:rStyle w:val="Lienhypertexte"/>
            <w:rFonts w:ascii="Times New Roman" w:hAnsi="Times New Roman" w:cs="Times New Roman"/>
            <w:sz w:val="24"/>
            <w:szCs w:val="24"/>
          </w:rPr>
          <w:t>http://wwwccbe.eu/NTCdocument/vade-frpdf2</w:t>
        </w:r>
      </w:hyperlink>
      <w:r w:rsidRPr="00695693">
        <w:rPr>
          <w:rFonts w:ascii="Times New Roman" w:hAnsi="Times New Roman" w:cs="Times New Roman"/>
          <w:sz w:val="24"/>
          <w:szCs w:val="24"/>
        </w:rPr>
        <w:t xml:space="preserve"> , consulté le 02 Juin 2017.</w:t>
      </w:r>
    </w:p>
    <w:p w:rsidR="00961442" w:rsidRPr="00695693" w:rsidRDefault="00961442" w:rsidP="00695693">
      <w:pPr>
        <w:pStyle w:val="Paragraphedeliste"/>
        <w:numPr>
          <w:ilvl w:val="0"/>
          <w:numId w:val="45"/>
        </w:numPr>
        <w:tabs>
          <w:tab w:val="center" w:pos="4536"/>
        </w:tabs>
        <w:spacing w:line="360" w:lineRule="auto"/>
        <w:jc w:val="both"/>
        <w:rPr>
          <w:rFonts w:ascii="Times New Roman" w:hAnsi="Times New Roman" w:cs="Times New Roman"/>
          <w:sz w:val="24"/>
          <w:szCs w:val="24"/>
        </w:rPr>
      </w:pPr>
      <w:r>
        <w:rPr>
          <w:rFonts w:ascii="Times New Roman" w:hAnsi="Times New Roman" w:cs="Times New Roman"/>
          <w:sz w:val="24"/>
          <w:szCs w:val="24"/>
        </w:rPr>
        <w:t>HOUNYO Narcisse, « La Cour de justice de l’Union Economique et Monétaire Ouest Africaine (UEMOA) dans sa fonction de garante de l’interprétation uniforme des normes communautaires », Rapport de stage en droit des affaires, UFR/SJP de l’Université de Ouagadougou, 2007-2008, 66 p.</w:t>
      </w:r>
    </w:p>
    <w:p w:rsidR="00694424" w:rsidRPr="00695693" w:rsidRDefault="00694424" w:rsidP="00695693">
      <w:pPr>
        <w:pStyle w:val="Paragraphedeliste"/>
        <w:numPr>
          <w:ilvl w:val="0"/>
          <w:numId w:val="45"/>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IBRIGA Luc Marius, « La problématique de la juridictionnalisation des processus d’intégration en Afrique de l’Ouest », Communication rendue le 11 mai 2006 à la faculté de droi</w:t>
      </w:r>
      <w:r w:rsidR="00DD2033" w:rsidRPr="00695693">
        <w:rPr>
          <w:rFonts w:ascii="Times New Roman" w:hAnsi="Times New Roman" w:cs="Times New Roman"/>
          <w:sz w:val="24"/>
          <w:szCs w:val="24"/>
        </w:rPr>
        <w:t>t de l’Université de Rouen, 30 p</w:t>
      </w:r>
      <w:r w:rsidRPr="00695693">
        <w:rPr>
          <w:rFonts w:ascii="Times New Roman" w:hAnsi="Times New Roman" w:cs="Times New Roman"/>
          <w:sz w:val="24"/>
          <w:szCs w:val="24"/>
        </w:rPr>
        <w:t xml:space="preserve">., accessible en ligne à l’adresse suivante : </w:t>
      </w:r>
      <w:hyperlink r:id="rId16" w:history="1">
        <w:r w:rsidRPr="00695693">
          <w:rPr>
            <w:rStyle w:val="Lienhypertexte"/>
            <w:rFonts w:ascii="Times New Roman" w:hAnsi="Times New Roman" w:cs="Times New Roman"/>
            <w:sz w:val="24"/>
            <w:szCs w:val="24"/>
          </w:rPr>
          <w:t>http://www.institut-idef.org</w:t>
        </w:r>
      </w:hyperlink>
      <w:r w:rsidRPr="00695693">
        <w:rPr>
          <w:rFonts w:ascii="Times New Roman" w:hAnsi="Times New Roman" w:cs="Times New Roman"/>
          <w:sz w:val="24"/>
          <w:szCs w:val="24"/>
        </w:rPr>
        <w:t xml:space="preserve"> , consulté le 02 Juin 2017.</w:t>
      </w:r>
    </w:p>
    <w:p w:rsidR="00694424" w:rsidRDefault="00694424" w:rsidP="00695693">
      <w:pPr>
        <w:pStyle w:val="Paragraphedeliste"/>
        <w:numPr>
          <w:ilvl w:val="0"/>
          <w:numId w:val="45"/>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IBRIGA Luc Marius, « L’ordre juridique communautaire et plus spécialement le droit dérivé », Séminaire organisé par l’Union Internationale des Avocats en collaboration avec l’ordre des Avoca</w:t>
      </w:r>
      <w:r w:rsidR="00DD2033" w:rsidRPr="00695693">
        <w:rPr>
          <w:rFonts w:ascii="Times New Roman" w:hAnsi="Times New Roman" w:cs="Times New Roman"/>
          <w:sz w:val="24"/>
          <w:szCs w:val="24"/>
        </w:rPr>
        <w:t>ts du Bénin, Cotonou, 2013, 13 p</w:t>
      </w:r>
      <w:r w:rsidRPr="00695693">
        <w:rPr>
          <w:rFonts w:ascii="Times New Roman" w:hAnsi="Times New Roman" w:cs="Times New Roman"/>
          <w:sz w:val="24"/>
          <w:szCs w:val="24"/>
        </w:rPr>
        <w:t xml:space="preserve">., accessible en ligne à l’adresse suivante : </w:t>
      </w:r>
      <w:hyperlink r:id="rId17" w:history="1">
        <w:r w:rsidR="00F67C90" w:rsidRPr="00695693">
          <w:rPr>
            <w:rStyle w:val="Lienhypertexte"/>
            <w:rFonts w:ascii="Times New Roman" w:hAnsi="Times New Roman" w:cs="Times New Roman"/>
            <w:sz w:val="24"/>
            <w:szCs w:val="24"/>
          </w:rPr>
          <w:t>http://www.uianet.org</w:t>
        </w:r>
      </w:hyperlink>
      <w:r w:rsidR="00F67C90" w:rsidRPr="00695693">
        <w:rPr>
          <w:rFonts w:ascii="Times New Roman" w:hAnsi="Times New Roman" w:cs="Times New Roman"/>
          <w:sz w:val="24"/>
          <w:szCs w:val="24"/>
        </w:rPr>
        <w:t xml:space="preserve"> , consulté le 20 Juillet 2017.</w:t>
      </w:r>
    </w:p>
    <w:p w:rsidR="003E0468" w:rsidRPr="00C52757" w:rsidRDefault="003E0468" w:rsidP="00695693">
      <w:pPr>
        <w:pStyle w:val="Paragraphedeliste"/>
        <w:numPr>
          <w:ilvl w:val="0"/>
          <w:numId w:val="45"/>
        </w:numPr>
        <w:tabs>
          <w:tab w:val="center" w:pos="4536"/>
        </w:tabs>
        <w:spacing w:line="360" w:lineRule="auto"/>
        <w:jc w:val="both"/>
        <w:rPr>
          <w:rFonts w:ascii="Times New Roman" w:hAnsi="Times New Roman" w:cs="Times New Roman"/>
          <w:sz w:val="24"/>
          <w:szCs w:val="24"/>
        </w:rPr>
      </w:pPr>
      <w:r w:rsidRPr="00C52757">
        <w:rPr>
          <w:rFonts w:ascii="Times New Roman" w:hAnsi="Times New Roman" w:cs="Times New Roman"/>
          <w:sz w:val="24"/>
          <w:szCs w:val="24"/>
        </w:rPr>
        <w:t xml:space="preserve">JACQUE Jean-Paul et autres, « comment assurer une plus grande implication des juridictions nationales dans le système de la convention ? », </w:t>
      </w:r>
      <w:r w:rsidRPr="00C52757">
        <w:rPr>
          <w:rFonts w:ascii="Times New Roman" w:hAnsi="Times New Roman" w:cs="Times New Roman"/>
          <w:i/>
          <w:sz w:val="24"/>
          <w:szCs w:val="24"/>
        </w:rPr>
        <w:t>in Dialogue entre juges</w:t>
      </w:r>
      <w:r w:rsidRPr="00C52757">
        <w:rPr>
          <w:rFonts w:ascii="Times New Roman" w:hAnsi="Times New Roman" w:cs="Times New Roman"/>
          <w:sz w:val="24"/>
          <w:szCs w:val="24"/>
        </w:rPr>
        <w:t>, Strasbourg, Actes du séminaire, 27 Janvier 2012, 39 p.</w:t>
      </w:r>
      <w:r w:rsidR="004F37ED">
        <w:rPr>
          <w:rFonts w:ascii="Times New Roman" w:hAnsi="Times New Roman" w:cs="Times New Roman"/>
          <w:sz w:val="24"/>
          <w:szCs w:val="24"/>
        </w:rPr>
        <w:t>, accessible en ligne sur :</w:t>
      </w:r>
      <w:hyperlink r:id="rId18" w:history="1">
        <w:r w:rsidR="003D2BF8" w:rsidRPr="0052418A">
          <w:rPr>
            <w:rStyle w:val="Lienhypertexte"/>
            <w:rFonts w:ascii="Times New Roman" w:hAnsi="Times New Roman" w:cs="Times New Roman"/>
            <w:sz w:val="24"/>
            <w:szCs w:val="24"/>
          </w:rPr>
          <w:t>https://www.echr.coe.int</w:t>
        </w:r>
      </w:hyperlink>
      <w:r w:rsidR="003D2BF8">
        <w:rPr>
          <w:rFonts w:ascii="Times New Roman" w:hAnsi="Times New Roman" w:cs="Times New Roman"/>
          <w:sz w:val="24"/>
          <w:szCs w:val="24"/>
        </w:rPr>
        <w:t xml:space="preserve"> , consulté le 10 Avril 2017.</w:t>
      </w:r>
    </w:p>
    <w:p w:rsidR="00A83A6D" w:rsidRPr="00695693" w:rsidRDefault="00A83A6D" w:rsidP="00695693">
      <w:pPr>
        <w:pStyle w:val="Paragraphedeliste"/>
        <w:numPr>
          <w:ilvl w:val="0"/>
          <w:numId w:val="45"/>
        </w:numPr>
        <w:tabs>
          <w:tab w:val="center" w:pos="453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KRINKE Charlotte, « Le renvoi préjudiciel, comment ça marche ? », communication rendue le 24 avril 2017, accessible en ligne à l’adresse suivante : </w:t>
      </w:r>
      <w:hyperlink r:id="rId19" w:history="1">
        <w:r w:rsidRPr="00D23FE3">
          <w:rPr>
            <w:rStyle w:val="Lienhypertexte"/>
            <w:rFonts w:ascii="Times New Roman" w:hAnsi="Times New Roman" w:cs="Times New Roman"/>
            <w:sz w:val="24"/>
            <w:szCs w:val="24"/>
          </w:rPr>
          <w:t>https://www.infogm.org</w:t>
        </w:r>
      </w:hyperlink>
      <w:r>
        <w:rPr>
          <w:rFonts w:ascii="Times New Roman" w:hAnsi="Times New Roman" w:cs="Times New Roman"/>
          <w:sz w:val="24"/>
          <w:szCs w:val="24"/>
        </w:rPr>
        <w:t xml:space="preserve"> , consulté le 26 avril 2018.</w:t>
      </w:r>
    </w:p>
    <w:p w:rsidR="00706629" w:rsidRDefault="00694424" w:rsidP="00706629">
      <w:pPr>
        <w:pStyle w:val="Paragraphedeliste"/>
        <w:numPr>
          <w:ilvl w:val="0"/>
          <w:numId w:val="45"/>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lastRenderedPageBreak/>
        <w:t>« Le Conseil d’Etat français et le renvoi préjudiciel à la Cour de Justice des Communautés européennes », Colloque de l’Association des Conseils d’Etats et des Juridictions administratives suprêmes de l’Union européenne, H</w:t>
      </w:r>
      <w:r w:rsidR="00DD2033" w:rsidRPr="00695693">
        <w:rPr>
          <w:rFonts w:ascii="Times New Roman" w:hAnsi="Times New Roman" w:cs="Times New Roman"/>
          <w:sz w:val="24"/>
          <w:szCs w:val="24"/>
        </w:rPr>
        <w:t>elsinki, 20 et 21 mai 2002, 34 p</w:t>
      </w:r>
      <w:r w:rsidRPr="00695693">
        <w:rPr>
          <w:rFonts w:ascii="Times New Roman" w:hAnsi="Times New Roman" w:cs="Times New Roman"/>
          <w:sz w:val="24"/>
          <w:szCs w:val="24"/>
        </w:rPr>
        <w:t xml:space="preserve">., accessible en ligne sur : </w:t>
      </w:r>
      <w:hyperlink r:id="rId20" w:history="1">
        <w:r w:rsidRPr="00695693">
          <w:rPr>
            <w:rStyle w:val="Lienhypertexte"/>
            <w:rFonts w:ascii="Times New Roman" w:hAnsi="Times New Roman" w:cs="Times New Roman"/>
            <w:sz w:val="24"/>
            <w:szCs w:val="24"/>
          </w:rPr>
          <w:t>http://wwwdocplayer.fr</w:t>
        </w:r>
      </w:hyperlink>
      <w:r w:rsidRPr="00695693">
        <w:rPr>
          <w:rFonts w:ascii="Times New Roman" w:hAnsi="Times New Roman" w:cs="Times New Roman"/>
          <w:sz w:val="24"/>
          <w:szCs w:val="24"/>
        </w:rPr>
        <w:t xml:space="preserve"> , consulté le 1</w:t>
      </w:r>
      <w:r w:rsidRPr="00695693">
        <w:rPr>
          <w:rFonts w:ascii="Times New Roman" w:hAnsi="Times New Roman" w:cs="Times New Roman"/>
          <w:sz w:val="24"/>
          <w:szCs w:val="24"/>
          <w:vertAlign w:val="superscript"/>
        </w:rPr>
        <w:t>er</w:t>
      </w:r>
      <w:r w:rsidRPr="00695693">
        <w:rPr>
          <w:rFonts w:ascii="Times New Roman" w:hAnsi="Times New Roman" w:cs="Times New Roman"/>
          <w:sz w:val="24"/>
          <w:szCs w:val="24"/>
        </w:rPr>
        <w:t xml:space="preserve"> Août 2017.</w:t>
      </w:r>
    </w:p>
    <w:p w:rsidR="000B3FD2" w:rsidRDefault="000B3FD2" w:rsidP="00706629">
      <w:pPr>
        <w:pStyle w:val="Paragraphedeliste"/>
        <w:numPr>
          <w:ilvl w:val="0"/>
          <w:numId w:val="45"/>
        </w:numPr>
        <w:tabs>
          <w:tab w:val="center" w:pos="4536"/>
        </w:tabs>
        <w:spacing w:line="360" w:lineRule="auto"/>
        <w:jc w:val="both"/>
        <w:rPr>
          <w:rFonts w:ascii="Times New Roman" w:hAnsi="Times New Roman" w:cs="Times New Roman"/>
          <w:sz w:val="24"/>
          <w:szCs w:val="24"/>
        </w:rPr>
      </w:pPr>
      <w:r>
        <w:rPr>
          <w:rFonts w:ascii="Times New Roman" w:hAnsi="Times New Roman" w:cs="Times New Roman"/>
          <w:sz w:val="24"/>
          <w:szCs w:val="24"/>
        </w:rPr>
        <w:t>MALENOVSKY Jiri, « Comment traiter le retrait tardif d’une demande de décision préjudicielle », communication rendue à Luxembourg le 20 Février 2013, 15 p., accessible en ligne sur :</w:t>
      </w:r>
      <w:hyperlink r:id="rId21" w:history="1">
        <w:r w:rsidR="00A04332" w:rsidRPr="00BF1A33">
          <w:rPr>
            <w:rStyle w:val="Lienhypertexte"/>
            <w:rFonts w:ascii="Times New Roman" w:hAnsi="Times New Roman" w:cs="Times New Roman"/>
            <w:sz w:val="24"/>
            <w:szCs w:val="24"/>
          </w:rPr>
          <w:t>https://www.mruni.eu</w:t>
        </w:r>
      </w:hyperlink>
      <w:r w:rsidR="00A04332">
        <w:rPr>
          <w:rFonts w:ascii="Times New Roman" w:hAnsi="Times New Roman" w:cs="Times New Roman"/>
          <w:sz w:val="24"/>
          <w:szCs w:val="24"/>
        </w:rPr>
        <w:t xml:space="preserve"> , consulté le 10 Avril 2017.</w:t>
      </w:r>
    </w:p>
    <w:p w:rsidR="00706629" w:rsidRDefault="00706629" w:rsidP="00706629">
      <w:pPr>
        <w:pStyle w:val="Paragraphedeliste"/>
        <w:numPr>
          <w:ilvl w:val="0"/>
          <w:numId w:val="45"/>
        </w:numPr>
        <w:rPr>
          <w:rFonts w:ascii="Times New Roman" w:hAnsi="Times New Roman" w:cs="Times New Roman"/>
          <w:sz w:val="24"/>
          <w:szCs w:val="24"/>
        </w:rPr>
      </w:pPr>
      <w:r w:rsidRPr="00706629">
        <w:rPr>
          <w:rFonts w:ascii="Times New Roman" w:hAnsi="Times New Roman" w:cs="Times New Roman"/>
          <w:sz w:val="24"/>
          <w:szCs w:val="24"/>
        </w:rPr>
        <w:t xml:space="preserve">MAGNON Xavier, « La QPC est-elle une question préjudicielle ? », communication rendue à l’Université de Toulouse 1, 2015, 10 p., accessible en ligne sur </w:t>
      </w:r>
      <w:r w:rsidR="009A11A4" w:rsidRPr="00706629">
        <w:rPr>
          <w:rFonts w:ascii="Times New Roman" w:hAnsi="Times New Roman" w:cs="Times New Roman"/>
          <w:sz w:val="24"/>
          <w:szCs w:val="24"/>
        </w:rPr>
        <w:t>:</w:t>
      </w:r>
      <w:hyperlink r:id="rId22" w:history="1">
        <w:r w:rsidRPr="00EF7714">
          <w:rPr>
            <w:rStyle w:val="Lienhypertexte"/>
            <w:rFonts w:ascii="Times New Roman" w:hAnsi="Times New Roman" w:cs="Times New Roman"/>
            <w:sz w:val="24"/>
            <w:szCs w:val="24"/>
          </w:rPr>
          <w:t>http://www.publications.ut-capitole.fr</w:t>
        </w:r>
      </w:hyperlink>
      <w:r>
        <w:rPr>
          <w:rFonts w:ascii="Times New Roman" w:hAnsi="Times New Roman" w:cs="Times New Roman"/>
          <w:sz w:val="24"/>
          <w:szCs w:val="24"/>
        </w:rPr>
        <w:t xml:space="preserve"> ,</w:t>
      </w:r>
      <w:r w:rsidRPr="00706629">
        <w:rPr>
          <w:rFonts w:ascii="Times New Roman" w:hAnsi="Times New Roman" w:cs="Times New Roman"/>
          <w:sz w:val="24"/>
          <w:szCs w:val="24"/>
        </w:rPr>
        <w:t xml:space="preserve"> consulté le 7 Juin 2018.</w:t>
      </w:r>
    </w:p>
    <w:p w:rsidR="00A83E00" w:rsidRDefault="00A83E00" w:rsidP="00706629">
      <w:pPr>
        <w:pStyle w:val="Paragraphedeliste"/>
        <w:numPr>
          <w:ilvl w:val="0"/>
          <w:numId w:val="45"/>
        </w:numPr>
        <w:rPr>
          <w:rFonts w:ascii="Times New Roman" w:hAnsi="Times New Roman" w:cs="Times New Roman"/>
          <w:sz w:val="24"/>
          <w:szCs w:val="24"/>
        </w:rPr>
      </w:pPr>
      <w:r>
        <w:rPr>
          <w:rFonts w:ascii="Times New Roman" w:hAnsi="Times New Roman" w:cs="Times New Roman"/>
          <w:sz w:val="24"/>
          <w:szCs w:val="24"/>
        </w:rPr>
        <w:t>MILCHIOR Richard, « Droit de la concurrence et renvoi préjudiciel », communication rendue à Bordeaux le 4 avril 2008</w:t>
      </w:r>
      <w:r w:rsidR="002E7195">
        <w:rPr>
          <w:rFonts w:ascii="Times New Roman" w:hAnsi="Times New Roman" w:cs="Times New Roman"/>
          <w:sz w:val="24"/>
          <w:szCs w:val="24"/>
        </w:rPr>
        <w:t xml:space="preserve">, 52 p., accessible en ligne sur : </w:t>
      </w:r>
      <w:hyperlink r:id="rId23" w:history="1">
        <w:r w:rsidR="002E7195" w:rsidRPr="00107864">
          <w:rPr>
            <w:rStyle w:val="Lienhypertexte"/>
            <w:rFonts w:ascii="Times New Roman" w:hAnsi="Times New Roman" w:cs="Times New Roman"/>
            <w:sz w:val="24"/>
            <w:szCs w:val="24"/>
          </w:rPr>
          <w:t>http://www.granrut.com</w:t>
        </w:r>
      </w:hyperlink>
      <w:r w:rsidR="002E7195">
        <w:rPr>
          <w:rFonts w:ascii="Times New Roman" w:hAnsi="Times New Roman" w:cs="Times New Roman"/>
          <w:sz w:val="24"/>
          <w:szCs w:val="24"/>
        </w:rPr>
        <w:t xml:space="preserve"> , consulté le 10 Avril 2017.</w:t>
      </w:r>
    </w:p>
    <w:p w:rsidR="00A83A6D" w:rsidRDefault="00A83A6D" w:rsidP="00695693">
      <w:pPr>
        <w:pStyle w:val="Paragraphedeliste"/>
        <w:numPr>
          <w:ilvl w:val="0"/>
          <w:numId w:val="45"/>
        </w:numPr>
        <w:tabs>
          <w:tab w:val="center" w:pos="453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MOUAFFO Kamwe, « Le renvoi préjudiciel devant la Cour de justice de la CEMAC », communication rendue le 14 mars 2014, accessible en ligne sur : </w:t>
      </w:r>
      <w:hyperlink r:id="rId24" w:history="1">
        <w:r w:rsidRPr="00D23FE3">
          <w:rPr>
            <w:rStyle w:val="Lienhypertexte"/>
            <w:rFonts w:ascii="Times New Roman" w:hAnsi="Times New Roman" w:cs="Times New Roman"/>
            <w:sz w:val="24"/>
            <w:szCs w:val="24"/>
          </w:rPr>
          <w:t>https://www.legavox.fr</w:t>
        </w:r>
      </w:hyperlink>
      <w:r>
        <w:rPr>
          <w:rFonts w:ascii="Times New Roman" w:hAnsi="Times New Roman" w:cs="Times New Roman"/>
          <w:sz w:val="24"/>
          <w:szCs w:val="24"/>
        </w:rPr>
        <w:t xml:space="preserve"> , consulté le 28 avril 2018.</w:t>
      </w:r>
    </w:p>
    <w:p w:rsidR="00EF61B8" w:rsidRDefault="00EF61B8" w:rsidP="00695693">
      <w:pPr>
        <w:pStyle w:val="Paragraphedeliste"/>
        <w:numPr>
          <w:ilvl w:val="0"/>
          <w:numId w:val="45"/>
        </w:numPr>
        <w:tabs>
          <w:tab w:val="center" w:pos="453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NAOME Caroline, « L’espace judiciaire européen, le renvoi préjudiciel : questions d’actualité », </w:t>
      </w:r>
      <w:r w:rsidRPr="00EF61B8">
        <w:rPr>
          <w:rFonts w:ascii="Times New Roman" w:hAnsi="Times New Roman" w:cs="Times New Roman"/>
          <w:i/>
          <w:sz w:val="24"/>
          <w:szCs w:val="24"/>
        </w:rPr>
        <w:t>in 76</w:t>
      </w:r>
      <w:r w:rsidRPr="00EF61B8">
        <w:rPr>
          <w:rFonts w:ascii="Times New Roman" w:hAnsi="Times New Roman" w:cs="Times New Roman"/>
          <w:i/>
          <w:sz w:val="24"/>
          <w:szCs w:val="24"/>
          <w:vertAlign w:val="superscript"/>
        </w:rPr>
        <w:t>ème</w:t>
      </w:r>
      <w:r w:rsidRPr="00EF61B8">
        <w:rPr>
          <w:rFonts w:ascii="Times New Roman" w:hAnsi="Times New Roman" w:cs="Times New Roman"/>
          <w:i/>
          <w:sz w:val="24"/>
          <w:szCs w:val="24"/>
        </w:rPr>
        <w:t xml:space="preserve"> congrès de la Confédération Nationale des Avocats</w:t>
      </w:r>
      <w:r>
        <w:rPr>
          <w:rFonts w:ascii="Times New Roman" w:hAnsi="Times New Roman" w:cs="Times New Roman"/>
          <w:sz w:val="24"/>
          <w:szCs w:val="24"/>
        </w:rPr>
        <w:t xml:space="preserve">, Côme, 29 et 30 Avril 2011, pp. 1-26, consulté le 24 Mai 2017. </w:t>
      </w:r>
    </w:p>
    <w:p w:rsidR="00E03004" w:rsidRDefault="00E03004" w:rsidP="00695693">
      <w:pPr>
        <w:pStyle w:val="Paragraphedeliste"/>
        <w:numPr>
          <w:ilvl w:val="0"/>
          <w:numId w:val="45"/>
        </w:numPr>
        <w:tabs>
          <w:tab w:val="center" w:pos="4536"/>
        </w:tabs>
        <w:spacing w:line="360" w:lineRule="auto"/>
        <w:jc w:val="both"/>
        <w:rPr>
          <w:rFonts w:ascii="Times New Roman" w:hAnsi="Times New Roman" w:cs="Times New Roman"/>
          <w:sz w:val="24"/>
          <w:szCs w:val="24"/>
        </w:rPr>
      </w:pPr>
      <w:r>
        <w:rPr>
          <w:rFonts w:ascii="Times New Roman" w:hAnsi="Times New Roman" w:cs="Times New Roman"/>
          <w:sz w:val="24"/>
          <w:szCs w:val="24"/>
        </w:rPr>
        <w:t>OLSON Terry, « La responsabilité de l’Etat encourue dans le cadre du droit de l’Union européenne », communication rendue le 1</w:t>
      </w:r>
      <w:r w:rsidRPr="00E03004">
        <w:rPr>
          <w:rFonts w:ascii="Times New Roman" w:hAnsi="Times New Roman" w:cs="Times New Roman"/>
          <w:sz w:val="24"/>
          <w:szCs w:val="24"/>
          <w:vertAlign w:val="superscript"/>
        </w:rPr>
        <w:t>er</w:t>
      </w:r>
      <w:r>
        <w:rPr>
          <w:rFonts w:ascii="Times New Roman" w:hAnsi="Times New Roman" w:cs="Times New Roman"/>
          <w:sz w:val="24"/>
          <w:szCs w:val="24"/>
        </w:rPr>
        <w:t xml:space="preserve"> novembre 2011, accessible en ligne sur : </w:t>
      </w:r>
      <w:hyperlink r:id="rId25" w:history="1">
        <w:r w:rsidRPr="00EF7714">
          <w:rPr>
            <w:rStyle w:val="Lienhypertexte"/>
            <w:rFonts w:ascii="Times New Roman" w:hAnsi="Times New Roman" w:cs="Times New Roman"/>
            <w:sz w:val="24"/>
            <w:szCs w:val="24"/>
          </w:rPr>
          <w:t>https://www.pravst.unist.hr</w:t>
        </w:r>
      </w:hyperlink>
      <w:r>
        <w:rPr>
          <w:rFonts w:ascii="Times New Roman" w:hAnsi="Times New Roman" w:cs="Times New Roman"/>
          <w:sz w:val="24"/>
          <w:szCs w:val="24"/>
        </w:rPr>
        <w:t xml:space="preserve"> , consulté le 5 juin 2018.</w:t>
      </w:r>
    </w:p>
    <w:p w:rsidR="00694424" w:rsidRPr="00695693" w:rsidRDefault="00694424" w:rsidP="00695693">
      <w:pPr>
        <w:pStyle w:val="Paragraphedeliste"/>
        <w:numPr>
          <w:ilvl w:val="0"/>
          <w:numId w:val="45"/>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RAMBAUD Juliette, « Poser une question préjudicielle à la CJUE afin de faire affirmer par la Cour le droit au logement et de renforcer le droit au logement de manière générale », </w:t>
      </w:r>
      <w:r w:rsidRPr="00695693">
        <w:rPr>
          <w:rFonts w:ascii="Times New Roman" w:hAnsi="Times New Roman" w:cs="Times New Roman"/>
          <w:i/>
          <w:sz w:val="24"/>
          <w:szCs w:val="24"/>
        </w:rPr>
        <w:t>in note de synthèse sur l’étude du droit de l’UE et de ses rapports potentiels au droit du/au logement</w:t>
      </w:r>
      <w:r w:rsidR="00DD2033" w:rsidRPr="00695693">
        <w:rPr>
          <w:rFonts w:ascii="Times New Roman" w:hAnsi="Times New Roman" w:cs="Times New Roman"/>
          <w:sz w:val="24"/>
          <w:szCs w:val="24"/>
        </w:rPr>
        <w:t>, Juillet 2012, pp</w:t>
      </w:r>
      <w:r w:rsidRPr="00695693">
        <w:rPr>
          <w:rFonts w:ascii="Times New Roman" w:hAnsi="Times New Roman" w:cs="Times New Roman"/>
          <w:sz w:val="24"/>
          <w:szCs w:val="24"/>
        </w:rPr>
        <w:t xml:space="preserve">. 1-34, disponible sur : </w:t>
      </w:r>
      <w:hyperlink r:id="rId26" w:history="1">
        <w:r w:rsidRPr="00695693">
          <w:rPr>
            <w:rStyle w:val="Lienhypertexte"/>
            <w:rFonts w:ascii="Times New Roman" w:hAnsi="Times New Roman" w:cs="Times New Roman"/>
            <w:sz w:val="24"/>
            <w:szCs w:val="24"/>
          </w:rPr>
          <w:t>https://www.gisti.org</w:t>
        </w:r>
      </w:hyperlink>
      <w:r w:rsidR="00FB1101">
        <w:rPr>
          <w:rFonts w:ascii="Times New Roman" w:hAnsi="Times New Roman" w:cs="Times New Roman"/>
          <w:sz w:val="24"/>
          <w:szCs w:val="24"/>
        </w:rPr>
        <w:t xml:space="preserve"> , </w:t>
      </w:r>
      <w:r w:rsidR="00015E79">
        <w:rPr>
          <w:rFonts w:ascii="Times New Roman" w:hAnsi="Times New Roman" w:cs="Times New Roman"/>
          <w:sz w:val="24"/>
          <w:szCs w:val="24"/>
        </w:rPr>
        <w:t xml:space="preserve">consulté </w:t>
      </w:r>
      <w:r w:rsidR="00FB1101">
        <w:rPr>
          <w:rFonts w:ascii="Times New Roman" w:hAnsi="Times New Roman" w:cs="Times New Roman"/>
          <w:sz w:val="24"/>
          <w:szCs w:val="24"/>
        </w:rPr>
        <w:t>le 05 M</w:t>
      </w:r>
      <w:r w:rsidRPr="00695693">
        <w:rPr>
          <w:rFonts w:ascii="Times New Roman" w:hAnsi="Times New Roman" w:cs="Times New Roman"/>
          <w:sz w:val="24"/>
          <w:szCs w:val="24"/>
        </w:rPr>
        <w:t>ars 2017.</w:t>
      </w:r>
    </w:p>
    <w:p w:rsidR="00694424" w:rsidRPr="00695693" w:rsidRDefault="00694424" w:rsidP="00695693">
      <w:pPr>
        <w:pStyle w:val="Paragraphedeliste"/>
        <w:numPr>
          <w:ilvl w:val="0"/>
          <w:numId w:val="45"/>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RAMATA Fofana et IBRIGA Lus Marius, « Formation des Magistrats en droit public des affaires UEMOA/CEMAC », Communication rendue du 20 au 31 octobre 2008</w:t>
      </w:r>
      <w:r w:rsidR="00DD2033" w:rsidRPr="00695693">
        <w:rPr>
          <w:rFonts w:ascii="Times New Roman" w:hAnsi="Times New Roman" w:cs="Times New Roman"/>
          <w:sz w:val="24"/>
          <w:szCs w:val="24"/>
        </w:rPr>
        <w:t xml:space="preserve"> à Porto-Novo, 182 p</w:t>
      </w:r>
      <w:r w:rsidRPr="00695693">
        <w:rPr>
          <w:rFonts w:ascii="Times New Roman" w:hAnsi="Times New Roman" w:cs="Times New Roman"/>
          <w:sz w:val="24"/>
          <w:szCs w:val="24"/>
        </w:rPr>
        <w:t>.</w:t>
      </w:r>
    </w:p>
    <w:p w:rsidR="00694424" w:rsidRDefault="00694424" w:rsidP="00695693">
      <w:pPr>
        <w:pStyle w:val="Paragraphedeliste"/>
        <w:numPr>
          <w:ilvl w:val="0"/>
          <w:numId w:val="45"/>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SALL Alioune, « Pour une plus grande pédagogie du contentieux communautaire : réflexion sur la mise en œuvre des procédures de collaboration avec les juridictions sous régionales (renvoi préjudiciel et demande d’Avis) », </w:t>
      </w:r>
      <w:r w:rsidRPr="00695693">
        <w:rPr>
          <w:rFonts w:ascii="Times New Roman" w:hAnsi="Times New Roman" w:cs="Times New Roman"/>
          <w:i/>
          <w:sz w:val="24"/>
          <w:szCs w:val="24"/>
        </w:rPr>
        <w:t xml:space="preserve">Communication aux </w:t>
      </w:r>
      <w:r w:rsidRPr="00695693">
        <w:rPr>
          <w:rFonts w:ascii="Times New Roman" w:hAnsi="Times New Roman" w:cs="Times New Roman"/>
          <w:i/>
          <w:sz w:val="24"/>
          <w:szCs w:val="24"/>
        </w:rPr>
        <w:lastRenderedPageBreak/>
        <w:t>rencontres interjuridictionnelles</w:t>
      </w:r>
      <w:r w:rsidR="00DD2033" w:rsidRPr="00695693">
        <w:rPr>
          <w:rFonts w:ascii="Times New Roman" w:hAnsi="Times New Roman" w:cs="Times New Roman"/>
          <w:sz w:val="24"/>
          <w:szCs w:val="24"/>
        </w:rPr>
        <w:t>, Dakar, 4-6 mai 2010, 3 p</w:t>
      </w:r>
      <w:r w:rsidRPr="00695693">
        <w:rPr>
          <w:rFonts w:ascii="Times New Roman" w:hAnsi="Times New Roman" w:cs="Times New Roman"/>
          <w:sz w:val="24"/>
          <w:szCs w:val="24"/>
        </w:rPr>
        <w:t>.</w:t>
      </w:r>
      <w:r w:rsidR="00987AA9">
        <w:rPr>
          <w:rFonts w:ascii="Times New Roman" w:hAnsi="Times New Roman" w:cs="Times New Roman"/>
          <w:sz w:val="24"/>
          <w:szCs w:val="24"/>
        </w:rPr>
        <w:t xml:space="preserve">, accessible en ligne sur : </w:t>
      </w:r>
      <w:hyperlink r:id="rId27" w:history="1">
        <w:r w:rsidR="00987AA9" w:rsidRPr="006B17BC">
          <w:rPr>
            <w:rStyle w:val="Lienhypertexte"/>
            <w:rFonts w:ascii="Times New Roman" w:hAnsi="Times New Roman" w:cs="Times New Roman"/>
            <w:sz w:val="24"/>
            <w:szCs w:val="24"/>
          </w:rPr>
          <w:t>https://www.institut-idef.org</w:t>
        </w:r>
      </w:hyperlink>
      <w:r w:rsidR="00987AA9">
        <w:rPr>
          <w:rFonts w:ascii="Times New Roman" w:hAnsi="Times New Roman" w:cs="Times New Roman"/>
          <w:sz w:val="24"/>
          <w:szCs w:val="24"/>
        </w:rPr>
        <w:t xml:space="preserve"> , consulté le</w:t>
      </w:r>
      <w:r w:rsidR="005E592B">
        <w:rPr>
          <w:rFonts w:ascii="Times New Roman" w:hAnsi="Times New Roman" w:cs="Times New Roman"/>
          <w:sz w:val="24"/>
          <w:szCs w:val="24"/>
        </w:rPr>
        <w:t xml:space="preserve"> 11 </w:t>
      </w:r>
      <w:r w:rsidR="00FB1101">
        <w:rPr>
          <w:rFonts w:ascii="Times New Roman" w:hAnsi="Times New Roman" w:cs="Times New Roman"/>
          <w:sz w:val="24"/>
          <w:szCs w:val="24"/>
        </w:rPr>
        <w:t>A</w:t>
      </w:r>
      <w:r w:rsidR="005E592B">
        <w:rPr>
          <w:rFonts w:ascii="Times New Roman" w:hAnsi="Times New Roman" w:cs="Times New Roman"/>
          <w:sz w:val="24"/>
          <w:szCs w:val="24"/>
        </w:rPr>
        <w:t xml:space="preserve">oût 2017. </w:t>
      </w:r>
    </w:p>
    <w:p w:rsidR="00CD118D" w:rsidRPr="00695693" w:rsidRDefault="00CD118D" w:rsidP="00695693">
      <w:pPr>
        <w:pStyle w:val="Paragraphedeliste"/>
        <w:numPr>
          <w:ilvl w:val="0"/>
          <w:numId w:val="45"/>
        </w:numPr>
        <w:tabs>
          <w:tab w:val="center" w:pos="453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VERDUSSEN Marc, « Le dialogue entre les Cours constitutionnelles et la Cour de justice de l’Union européenne : vers une justice post-nationale ? », </w:t>
      </w:r>
      <w:r w:rsidRPr="00CD118D">
        <w:rPr>
          <w:rFonts w:ascii="Times New Roman" w:hAnsi="Times New Roman" w:cs="Times New Roman"/>
          <w:i/>
          <w:sz w:val="24"/>
          <w:szCs w:val="24"/>
        </w:rPr>
        <w:t>in IXème congrès mondial de droit constitutionnel-Oslo</w:t>
      </w:r>
      <w:r>
        <w:rPr>
          <w:rFonts w:ascii="Times New Roman" w:hAnsi="Times New Roman" w:cs="Times New Roman"/>
          <w:sz w:val="24"/>
          <w:szCs w:val="24"/>
        </w:rPr>
        <w:t xml:space="preserve">, 16-20 Juin 2014, pp. 1-15, accessible en ligne sur : </w:t>
      </w:r>
      <w:hyperlink r:id="rId28" w:history="1">
        <w:r w:rsidRPr="008A26AF">
          <w:rPr>
            <w:rStyle w:val="Lienhypertexte"/>
            <w:rFonts w:ascii="Times New Roman" w:hAnsi="Times New Roman" w:cs="Times New Roman"/>
            <w:sz w:val="24"/>
            <w:szCs w:val="24"/>
          </w:rPr>
          <w:t>http://www.docplayer.fr</w:t>
        </w:r>
      </w:hyperlink>
      <w:r>
        <w:rPr>
          <w:rFonts w:ascii="Times New Roman" w:hAnsi="Times New Roman" w:cs="Times New Roman"/>
          <w:sz w:val="24"/>
          <w:szCs w:val="24"/>
        </w:rPr>
        <w:t xml:space="preserve"> , consulté le 10 Avril 2017.</w:t>
      </w:r>
    </w:p>
    <w:p w:rsidR="00403B3F" w:rsidRPr="00695693" w:rsidRDefault="00694424" w:rsidP="00695693">
      <w:pPr>
        <w:pStyle w:val="Paragraphedeliste"/>
        <w:numPr>
          <w:ilvl w:val="0"/>
          <w:numId w:val="45"/>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YEHOUESSI Yves Donatien, « Communication de la Cour de Justice de l’UEMOA », </w:t>
      </w:r>
      <w:r w:rsidRPr="00695693">
        <w:rPr>
          <w:rFonts w:ascii="Times New Roman" w:hAnsi="Times New Roman" w:cs="Times New Roman"/>
          <w:i/>
          <w:sz w:val="24"/>
          <w:szCs w:val="24"/>
        </w:rPr>
        <w:t>in les cahiers de l’association Ouest africaine des hautes juridictions francophones</w:t>
      </w:r>
      <w:r w:rsidRPr="00695693">
        <w:rPr>
          <w:rFonts w:ascii="Times New Roman" w:hAnsi="Times New Roman" w:cs="Times New Roman"/>
          <w:sz w:val="24"/>
          <w:szCs w:val="24"/>
        </w:rPr>
        <w:t>, Acte de Colloque de Ouagado</w:t>
      </w:r>
      <w:r w:rsidR="00DD2033" w:rsidRPr="00695693">
        <w:rPr>
          <w:rFonts w:ascii="Times New Roman" w:hAnsi="Times New Roman" w:cs="Times New Roman"/>
          <w:sz w:val="24"/>
          <w:szCs w:val="24"/>
        </w:rPr>
        <w:t>ugou, 24 à 26 Juin 2003, pp</w:t>
      </w:r>
      <w:r w:rsidRPr="00695693">
        <w:rPr>
          <w:rFonts w:ascii="Times New Roman" w:hAnsi="Times New Roman" w:cs="Times New Roman"/>
          <w:sz w:val="24"/>
          <w:szCs w:val="24"/>
        </w:rPr>
        <w:t>. 343-357.</w:t>
      </w:r>
    </w:p>
    <w:p w:rsidR="00694424" w:rsidRPr="00111EDB" w:rsidRDefault="00CC6679" w:rsidP="00111EDB">
      <w:pPr>
        <w:tabs>
          <w:tab w:val="center" w:pos="4536"/>
        </w:tabs>
        <w:spacing w:line="360" w:lineRule="auto"/>
        <w:jc w:val="both"/>
        <w:rPr>
          <w:rFonts w:ascii="Times New Roman" w:hAnsi="Times New Roman" w:cs="Times New Roman"/>
          <w:sz w:val="24"/>
          <w:szCs w:val="24"/>
        </w:rPr>
      </w:pPr>
      <w:r w:rsidRPr="00111EDB">
        <w:rPr>
          <w:rFonts w:ascii="Times New Roman" w:hAnsi="Times New Roman" w:cs="Times New Roman"/>
          <w:b/>
          <w:sz w:val="24"/>
          <w:szCs w:val="24"/>
        </w:rPr>
        <w:t xml:space="preserve">II. </w:t>
      </w:r>
      <w:r w:rsidR="00694424" w:rsidRPr="00111EDB">
        <w:rPr>
          <w:rFonts w:ascii="Times New Roman" w:hAnsi="Times New Roman" w:cs="Times New Roman"/>
          <w:b/>
          <w:sz w:val="24"/>
          <w:szCs w:val="24"/>
        </w:rPr>
        <w:t>JURISPRUDENCES</w:t>
      </w:r>
    </w:p>
    <w:p w:rsidR="00F563F6" w:rsidRPr="00F563F6" w:rsidRDefault="00694424" w:rsidP="00F563F6">
      <w:pPr>
        <w:pStyle w:val="Paragraphedeliste"/>
        <w:tabs>
          <w:tab w:val="center" w:pos="4536"/>
        </w:tabs>
        <w:spacing w:line="360" w:lineRule="auto"/>
        <w:jc w:val="both"/>
        <w:rPr>
          <w:rFonts w:ascii="Times New Roman" w:hAnsi="Times New Roman" w:cs="Times New Roman"/>
          <w:b/>
          <w:sz w:val="24"/>
          <w:szCs w:val="24"/>
        </w:rPr>
      </w:pPr>
      <w:r w:rsidRPr="00695693">
        <w:rPr>
          <w:rFonts w:ascii="Times New Roman" w:hAnsi="Times New Roman" w:cs="Times New Roman"/>
          <w:b/>
          <w:sz w:val="24"/>
          <w:szCs w:val="24"/>
        </w:rPr>
        <w:t xml:space="preserve">A. </w:t>
      </w:r>
      <w:r w:rsidR="001375DF" w:rsidRPr="00695693">
        <w:rPr>
          <w:rFonts w:ascii="Times New Roman" w:hAnsi="Times New Roman" w:cs="Times New Roman"/>
          <w:b/>
          <w:sz w:val="24"/>
          <w:szCs w:val="24"/>
        </w:rPr>
        <w:t>cour de justice de l’UEMOA</w:t>
      </w:r>
    </w:p>
    <w:p w:rsidR="00694424" w:rsidRPr="00695693" w:rsidRDefault="004218EB" w:rsidP="00695693">
      <w:pPr>
        <w:pStyle w:val="Paragraphedeliste"/>
        <w:numPr>
          <w:ilvl w:val="0"/>
          <w:numId w:val="45"/>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C</w:t>
      </w:r>
      <w:r w:rsidR="002852D2" w:rsidRPr="00695693">
        <w:rPr>
          <w:rFonts w:ascii="Times New Roman" w:hAnsi="Times New Roman" w:cs="Times New Roman"/>
          <w:sz w:val="24"/>
          <w:szCs w:val="24"/>
        </w:rPr>
        <w:t>.</w:t>
      </w:r>
      <w:r w:rsidRPr="00695693">
        <w:rPr>
          <w:rFonts w:ascii="Times New Roman" w:hAnsi="Times New Roman" w:cs="Times New Roman"/>
          <w:sz w:val="24"/>
          <w:szCs w:val="24"/>
        </w:rPr>
        <w:t>J</w:t>
      </w:r>
      <w:r w:rsidR="002852D2" w:rsidRPr="00695693">
        <w:rPr>
          <w:rFonts w:ascii="Times New Roman" w:hAnsi="Times New Roman" w:cs="Times New Roman"/>
          <w:sz w:val="24"/>
          <w:szCs w:val="24"/>
        </w:rPr>
        <w:t>. /</w:t>
      </w:r>
      <w:r w:rsidRPr="00695693">
        <w:rPr>
          <w:rFonts w:ascii="Times New Roman" w:hAnsi="Times New Roman" w:cs="Times New Roman"/>
          <w:sz w:val="24"/>
          <w:szCs w:val="24"/>
        </w:rPr>
        <w:t>U</w:t>
      </w:r>
      <w:r w:rsidR="002852D2" w:rsidRPr="00695693">
        <w:rPr>
          <w:rFonts w:ascii="Times New Roman" w:hAnsi="Times New Roman" w:cs="Times New Roman"/>
          <w:sz w:val="24"/>
          <w:szCs w:val="24"/>
        </w:rPr>
        <w:t>.</w:t>
      </w:r>
      <w:r w:rsidRPr="00695693">
        <w:rPr>
          <w:rFonts w:ascii="Times New Roman" w:hAnsi="Times New Roman" w:cs="Times New Roman"/>
          <w:sz w:val="24"/>
          <w:szCs w:val="24"/>
        </w:rPr>
        <w:t>E</w:t>
      </w:r>
      <w:r w:rsidR="002852D2" w:rsidRPr="00695693">
        <w:rPr>
          <w:rFonts w:ascii="Times New Roman" w:hAnsi="Times New Roman" w:cs="Times New Roman"/>
          <w:sz w:val="24"/>
          <w:szCs w:val="24"/>
        </w:rPr>
        <w:t>.</w:t>
      </w:r>
      <w:r w:rsidRPr="00695693">
        <w:rPr>
          <w:rFonts w:ascii="Times New Roman" w:hAnsi="Times New Roman" w:cs="Times New Roman"/>
          <w:sz w:val="24"/>
          <w:szCs w:val="24"/>
        </w:rPr>
        <w:t>M</w:t>
      </w:r>
      <w:r w:rsidR="002852D2" w:rsidRPr="00695693">
        <w:rPr>
          <w:rFonts w:ascii="Times New Roman" w:hAnsi="Times New Roman" w:cs="Times New Roman"/>
          <w:sz w:val="24"/>
          <w:szCs w:val="24"/>
        </w:rPr>
        <w:t>.</w:t>
      </w:r>
      <w:r w:rsidRPr="00695693">
        <w:rPr>
          <w:rFonts w:ascii="Times New Roman" w:hAnsi="Times New Roman" w:cs="Times New Roman"/>
          <w:sz w:val="24"/>
          <w:szCs w:val="24"/>
        </w:rPr>
        <w:t>O</w:t>
      </w:r>
      <w:r w:rsidR="002852D2" w:rsidRPr="00695693">
        <w:rPr>
          <w:rFonts w:ascii="Times New Roman" w:hAnsi="Times New Roman" w:cs="Times New Roman"/>
          <w:sz w:val="24"/>
          <w:szCs w:val="24"/>
        </w:rPr>
        <w:t>.</w:t>
      </w:r>
      <w:r w:rsidRPr="00695693">
        <w:rPr>
          <w:rFonts w:ascii="Times New Roman" w:hAnsi="Times New Roman" w:cs="Times New Roman"/>
          <w:sz w:val="24"/>
          <w:szCs w:val="24"/>
        </w:rPr>
        <w:t>A</w:t>
      </w:r>
      <w:r w:rsidR="002852D2" w:rsidRPr="00695693">
        <w:rPr>
          <w:rFonts w:ascii="Times New Roman" w:hAnsi="Times New Roman" w:cs="Times New Roman"/>
          <w:sz w:val="24"/>
          <w:szCs w:val="24"/>
        </w:rPr>
        <w:t>.</w:t>
      </w:r>
      <w:r w:rsidRPr="00695693">
        <w:rPr>
          <w:rFonts w:ascii="Times New Roman" w:hAnsi="Times New Roman" w:cs="Times New Roman"/>
          <w:sz w:val="24"/>
          <w:szCs w:val="24"/>
        </w:rPr>
        <w:t xml:space="preserve">, </w:t>
      </w:r>
      <w:r w:rsidR="00694424" w:rsidRPr="00695693">
        <w:rPr>
          <w:rFonts w:ascii="Times New Roman" w:hAnsi="Times New Roman" w:cs="Times New Roman"/>
          <w:sz w:val="24"/>
          <w:szCs w:val="24"/>
        </w:rPr>
        <w:t xml:space="preserve">Arrêt </w:t>
      </w:r>
      <w:r w:rsidRPr="00695693">
        <w:rPr>
          <w:rFonts w:ascii="Times New Roman" w:hAnsi="Times New Roman" w:cs="Times New Roman"/>
          <w:sz w:val="24"/>
          <w:szCs w:val="24"/>
        </w:rPr>
        <w:t xml:space="preserve">du 12 Janvier 2005, </w:t>
      </w:r>
      <w:r w:rsidRPr="00695693">
        <w:rPr>
          <w:rFonts w:ascii="Times New Roman" w:hAnsi="Times New Roman" w:cs="Times New Roman"/>
          <w:i/>
          <w:sz w:val="24"/>
          <w:szCs w:val="24"/>
        </w:rPr>
        <w:t>Compagnie Air France et syndicat des Agents de voyage et de Tourisme de Sénégal</w:t>
      </w:r>
      <w:r w:rsidRPr="00695693">
        <w:rPr>
          <w:rFonts w:ascii="Times New Roman" w:hAnsi="Times New Roman" w:cs="Times New Roman"/>
          <w:sz w:val="24"/>
          <w:szCs w:val="24"/>
        </w:rPr>
        <w:t>, Aff. n</w:t>
      </w:r>
      <w:r w:rsidR="00694424" w:rsidRPr="00695693">
        <w:rPr>
          <w:rFonts w:ascii="Times New Roman" w:hAnsi="Times New Roman" w:cs="Times New Roman"/>
          <w:sz w:val="24"/>
          <w:szCs w:val="24"/>
        </w:rPr>
        <w:t>°02/2005 ;</w:t>
      </w:r>
    </w:p>
    <w:p w:rsidR="004218EB" w:rsidRPr="00695693" w:rsidRDefault="004218EB" w:rsidP="00695693">
      <w:pPr>
        <w:pStyle w:val="Paragraphedeliste"/>
        <w:numPr>
          <w:ilvl w:val="0"/>
          <w:numId w:val="45"/>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C</w:t>
      </w:r>
      <w:r w:rsidR="002852D2" w:rsidRPr="00695693">
        <w:rPr>
          <w:rFonts w:ascii="Times New Roman" w:hAnsi="Times New Roman" w:cs="Times New Roman"/>
          <w:sz w:val="24"/>
          <w:szCs w:val="24"/>
        </w:rPr>
        <w:t>.</w:t>
      </w:r>
      <w:r w:rsidRPr="00695693">
        <w:rPr>
          <w:rFonts w:ascii="Times New Roman" w:hAnsi="Times New Roman" w:cs="Times New Roman"/>
          <w:sz w:val="24"/>
          <w:szCs w:val="24"/>
        </w:rPr>
        <w:t>J</w:t>
      </w:r>
      <w:r w:rsidR="002852D2" w:rsidRPr="00695693">
        <w:rPr>
          <w:rFonts w:ascii="Times New Roman" w:hAnsi="Times New Roman" w:cs="Times New Roman"/>
          <w:sz w:val="24"/>
          <w:szCs w:val="24"/>
        </w:rPr>
        <w:t>. /</w:t>
      </w:r>
      <w:r w:rsidRPr="00695693">
        <w:rPr>
          <w:rFonts w:ascii="Times New Roman" w:hAnsi="Times New Roman" w:cs="Times New Roman"/>
          <w:sz w:val="24"/>
          <w:szCs w:val="24"/>
        </w:rPr>
        <w:t>U</w:t>
      </w:r>
      <w:r w:rsidR="002852D2" w:rsidRPr="00695693">
        <w:rPr>
          <w:rFonts w:ascii="Times New Roman" w:hAnsi="Times New Roman" w:cs="Times New Roman"/>
          <w:sz w:val="24"/>
          <w:szCs w:val="24"/>
        </w:rPr>
        <w:t>.</w:t>
      </w:r>
      <w:r w:rsidRPr="00695693">
        <w:rPr>
          <w:rFonts w:ascii="Times New Roman" w:hAnsi="Times New Roman" w:cs="Times New Roman"/>
          <w:sz w:val="24"/>
          <w:szCs w:val="24"/>
        </w:rPr>
        <w:t>E</w:t>
      </w:r>
      <w:r w:rsidR="002852D2" w:rsidRPr="00695693">
        <w:rPr>
          <w:rFonts w:ascii="Times New Roman" w:hAnsi="Times New Roman" w:cs="Times New Roman"/>
          <w:sz w:val="24"/>
          <w:szCs w:val="24"/>
        </w:rPr>
        <w:t>.</w:t>
      </w:r>
      <w:r w:rsidRPr="00695693">
        <w:rPr>
          <w:rFonts w:ascii="Times New Roman" w:hAnsi="Times New Roman" w:cs="Times New Roman"/>
          <w:sz w:val="24"/>
          <w:szCs w:val="24"/>
        </w:rPr>
        <w:t>M</w:t>
      </w:r>
      <w:r w:rsidR="002852D2" w:rsidRPr="00695693">
        <w:rPr>
          <w:rFonts w:ascii="Times New Roman" w:hAnsi="Times New Roman" w:cs="Times New Roman"/>
          <w:sz w:val="24"/>
          <w:szCs w:val="24"/>
        </w:rPr>
        <w:t>.</w:t>
      </w:r>
      <w:r w:rsidRPr="00695693">
        <w:rPr>
          <w:rFonts w:ascii="Times New Roman" w:hAnsi="Times New Roman" w:cs="Times New Roman"/>
          <w:sz w:val="24"/>
          <w:szCs w:val="24"/>
        </w:rPr>
        <w:t>O</w:t>
      </w:r>
      <w:r w:rsidR="002852D2" w:rsidRPr="00695693">
        <w:rPr>
          <w:rFonts w:ascii="Times New Roman" w:hAnsi="Times New Roman" w:cs="Times New Roman"/>
          <w:sz w:val="24"/>
          <w:szCs w:val="24"/>
        </w:rPr>
        <w:t>.</w:t>
      </w:r>
      <w:r w:rsidRPr="00695693">
        <w:rPr>
          <w:rFonts w:ascii="Times New Roman" w:hAnsi="Times New Roman" w:cs="Times New Roman"/>
          <w:sz w:val="24"/>
          <w:szCs w:val="24"/>
        </w:rPr>
        <w:t>A</w:t>
      </w:r>
      <w:r w:rsidR="002852D2" w:rsidRPr="00695693">
        <w:rPr>
          <w:rFonts w:ascii="Times New Roman" w:hAnsi="Times New Roman" w:cs="Times New Roman"/>
          <w:sz w:val="24"/>
          <w:szCs w:val="24"/>
        </w:rPr>
        <w:t>.</w:t>
      </w:r>
      <w:r w:rsidRPr="00695693">
        <w:rPr>
          <w:rFonts w:ascii="Times New Roman" w:hAnsi="Times New Roman" w:cs="Times New Roman"/>
          <w:sz w:val="24"/>
          <w:szCs w:val="24"/>
        </w:rPr>
        <w:t xml:space="preserve">, </w:t>
      </w:r>
      <w:r w:rsidR="00721BA7" w:rsidRPr="00695693">
        <w:rPr>
          <w:rFonts w:ascii="Times New Roman" w:hAnsi="Times New Roman" w:cs="Times New Roman"/>
          <w:sz w:val="24"/>
          <w:szCs w:val="24"/>
        </w:rPr>
        <w:t>Arrêt</w:t>
      </w:r>
      <w:r w:rsidRPr="00695693">
        <w:rPr>
          <w:rFonts w:ascii="Times New Roman" w:hAnsi="Times New Roman" w:cs="Times New Roman"/>
          <w:sz w:val="24"/>
          <w:szCs w:val="24"/>
        </w:rPr>
        <w:t xml:space="preserve"> du </w:t>
      </w:r>
      <w:r w:rsidR="00721BA7" w:rsidRPr="00695693">
        <w:rPr>
          <w:rFonts w:ascii="Times New Roman" w:hAnsi="Times New Roman" w:cs="Times New Roman"/>
          <w:sz w:val="24"/>
          <w:szCs w:val="24"/>
        </w:rPr>
        <w:t xml:space="preserve">27 Avril 2005, </w:t>
      </w:r>
      <w:r w:rsidR="00721BA7" w:rsidRPr="00695693">
        <w:rPr>
          <w:rFonts w:ascii="Times New Roman" w:hAnsi="Times New Roman" w:cs="Times New Roman"/>
          <w:i/>
          <w:sz w:val="24"/>
          <w:szCs w:val="24"/>
        </w:rPr>
        <w:t>Eugène Yaї c. /CCEG et Commission de l’UEMOA</w:t>
      </w:r>
      <w:r w:rsidR="00721BA7" w:rsidRPr="00695693">
        <w:rPr>
          <w:rFonts w:ascii="Times New Roman" w:hAnsi="Times New Roman" w:cs="Times New Roman"/>
          <w:sz w:val="24"/>
          <w:szCs w:val="24"/>
        </w:rPr>
        <w:t>, Aff. 03/2005 ;</w:t>
      </w:r>
    </w:p>
    <w:p w:rsidR="00721BA7" w:rsidRPr="00695693" w:rsidRDefault="00721BA7" w:rsidP="00695693">
      <w:pPr>
        <w:pStyle w:val="Paragraphedeliste"/>
        <w:numPr>
          <w:ilvl w:val="0"/>
          <w:numId w:val="45"/>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C</w:t>
      </w:r>
      <w:r w:rsidR="002852D2" w:rsidRPr="00695693">
        <w:rPr>
          <w:rFonts w:ascii="Times New Roman" w:hAnsi="Times New Roman" w:cs="Times New Roman"/>
          <w:sz w:val="24"/>
          <w:szCs w:val="24"/>
        </w:rPr>
        <w:t>.</w:t>
      </w:r>
      <w:r w:rsidRPr="00695693">
        <w:rPr>
          <w:rFonts w:ascii="Times New Roman" w:hAnsi="Times New Roman" w:cs="Times New Roman"/>
          <w:sz w:val="24"/>
          <w:szCs w:val="24"/>
        </w:rPr>
        <w:t>J</w:t>
      </w:r>
      <w:r w:rsidR="002852D2" w:rsidRPr="00695693">
        <w:rPr>
          <w:rFonts w:ascii="Times New Roman" w:hAnsi="Times New Roman" w:cs="Times New Roman"/>
          <w:sz w:val="24"/>
          <w:szCs w:val="24"/>
        </w:rPr>
        <w:t>. /</w:t>
      </w:r>
      <w:r w:rsidRPr="00695693">
        <w:rPr>
          <w:rFonts w:ascii="Times New Roman" w:hAnsi="Times New Roman" w:cs="Times New Roman"/>
          <w:sz w:val="24"/>
          <w:szCs w:val="24"/>
        </w:rPr>
        <w:t>U</w:t>
      </w:r>
      <w:r w:rsidR="002852D2" w:rsidRPr="00695693">
        <w:rPr>
          <w:rFonts w:ascii="Times New Roman" w:hAnsi="Times New Roman" w:cs="Times New Roman"/>
          <w:sz w:val="24"/>
          <w:szCs w:val="24"/>
        </w:rPr>
        <w:t>.</w:t>
      </w:r>
      <w:r w:rsidRPr="00695693">
        <w:rPr>
          <w:rFonts w:ascii="Times New Roman" w:hAnsi="Times New Roman" w:cs="Times New Roman"/>
          <w:sz w:val="24"/>
          <w:szCs w:val="24"/>
        </w:rPr>
        <w:t>E</w:t>
      </w:r>
      <w:r w:rsidR="002852D2" w:rsidRPr="00695693">
        <w:rPr>
          <w:rFonts w:ascii="Times New Roman" w:hAnsi="Times New Roman" w:cs="Times New Roman"/>
          <w:sz w:val="24"/>
          <w:szCs w:val="24"/>
        </w:rPr>
        <w:t>.</w:t>
      </w:r>
      <w:r w:rsidRPr="00695693">
        <w:rPr>
          <w:rFonts w:ascii="Times New Roman" w:hAnsi="Times New Roman" w:cs="Times New Roman"/>
          <w:sz w:val="24"/>
          <w:szCs w:val="24"/>
        </w:rPr>
        <w:t>M</w:t>
      </w:r>
      <w:r w:rsidR="002852D2" w:rsidRPr="00695693">
        <w:rPr>
          <w:rFonts w:ascii="Times New Roman" w:hAnsi="Times New Roman" w:cs="Times New Roman"/>
          <w:sz w:val="24"/>
          <w:szCs w:val="24"/>
        </w:rPr>
        <w:t>.</w:t>
      </w:r>
      <w:r w:rsidRPr="00695693">
        <w:rPr>
          <w:rFonts w:ascii="Times New Roman" w:hAnsi="Times New Roman" w:cs="Times New Roman"/>
          <w:sz w:val="24"/>
          <w:szCs w:val="24"/>
        </w:rPr>
        <w:t>O</w:t>
      </w:r>
      <w:r w:rsidR="002852D2" w:rsidRPr="00695693">
        <w:rPr>
          <w:rFonts w:ascii="Times New Roman" w:hAnsi="Times New Roman" w:cs="Times New Roman"/>
          <w:sz w:val="24"/>
          <w:szCs w:val="24"/>
        </w:rPr>
        <w:t>.</w:t>
      </w:r>
      <w:r w:rsidRPr="00695693">
        <w:rPr>
          <w:rFonts w:ascii="Times New Roman" w:hAnsi="Times New Roman" w:cs="Times New Roman"/>
          <w:sz w:val="24"/>
          <w:szCs w:val="24"/>
        </w:rPr>
        <w:t>A</w:t>
      </w:r>
      <w:r w:rsidR="002852D2" w:rsidRPr="00695693">
        <w:rPr>
          <w:rFonts w:ascii="Times New Roman" w:hAnsi="Times New Roman" w:cs="Times New Roman"/>
          <w:sz w:val="24"/>
          <w:szCs w:val="24"/>
        </w:rPr>
        <w:t>.</w:t>
      </w:r>
      <w:r w:rsidRPr="00695693">
        <w:rPr>
          <w:rFonts w:ascii="Times New Roman" w:hAnsi="Times New Roman" w:cs="Times New Roman"/>
          <w:sz w:val="24"/>
          <w:szCs w:val="24"/>
        </w:rPr>
        <w:t xml:space="preserve">, Arrêt du 05 Avril 2006, </w:t>
      </w:r>
      <w:r w:rsidRPr="00695693">
        <w:rPr>
          <w:rFonts w:ascii="Times New Roman" w:hAnsi="Times New Roman" w:cs="Times New Roman"/>
          <w:i/>
          <w:sz w:val="24"/>
          <w:szCs w:val="24"/>
        </w:rPr>
        <w:t>Eugène Yaї c. /CCEG et Commission de l’UEMOA</w:t>
      </w:r>
      <w:r w:rsidRPr="00695693">
        <w:rPr>
          <w:rFonts w:ascii="Times New Roman" w:hAnsi="Times New Roman" w:cs="Times New Roman"/>
          <w:sz w:val="24"/>
          <w:szCs w:val="24"/>
        </w:rPr>
        <w:t>, Aff. 01/2006 ;</w:t>
      </w:r>
    </w:p>
    <w:p w:rsidR="00694424" w:rsidRPr="00695693" w:rsidRDefault="004218EB" w:rsidP="00695693">
      <w:pPr>
        <w:pStyle w:val="Paragraphedeliste"/>
        <w:numPr>
          <w:ilvl w:val="0"/>
          <w:numId w:val="45"/>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C</w:t>
      </w:r>
      <w:r w:rsidR="002852D2" w:rsidRPr="00695693">
        <w:rPr>
          <w:rFonts w:ascii="Times New Roman" w:hAnsi="Times New Roman" w:cs="Times New Roman"/>
          <w:sz w:val="24"/>
          <w:szCs w:val="24"/>
        </w:rPr>
        <w:t>.</w:t>
      </w:r>
      <w:r w:rsidRPr="00695693">
        <w:rPr>
          <w:rFonts w:ascii="Times New Roman" w:hAnsi="Times New Roman" w:cs="Times New Roman"/>
          <w:sz w:val="24"/>
          <w:szCs w:val="24"/>
        </w:rPr>
        <w:t>J</w:t>
      </w:r>
      <w:r w:rsidR="002852D2" w:rsidRPr="00695693">
        <w:rPr>
          <w:rFonts w:ascii="Times New Roman" w:hAnsi="Times New Roman" w:cs="Times New Roman"/>
          <w:sz w:val="24"/>
          <w:szCs w:val="24"/>
        </w:rPr>
        <w:t>. /</w:t>
      </w:r>
      <w:r w:rsidRPr="00695693">
        <w:rPr>
          <w:rFonts w:ascii="Times New Roman" w:hAnsi="Times New Roman" w:cs="Times New Roman"/>
          <w:sz w:val="24"/>
          <w:szCs w:val="24"/>
        </w:rPr>
        <w:t>U</w:t>
      </w:r>
      <w:r w:rsidR="002852D2" w:rsidRPr="00695693">
        <w:rPr>
          <w:rFonts w:ascii="Times New Roman" w:hAnsi="Times New Roman" w:cs="Times New Roman"/>
          <w:sz w:val="24"/>
          <w:szCs w:val="24"/>
        </w:rPr>
        <w:t>.</w:t>
      </w:r>
      <w:r w:rsidRPr="00695693">
        <w:rPr>
          <w:rFonts w:ascii="Times New Roman" w:hAnsi="Times New Roman" w:cs="Times New Roman"/>
          <w:sz w:val="24"/>
          <w:szCs w:val="24"/>
        </w:rPr>
        <w:t>E</w:t>
      </w:r>
      <w:r w:rsidR="002852D2" w:rsidRPr="00695693">
        <w:rPr>
          <w:rFonts w:ascii="Times New Roman" w:hAnsi="Times New Roman" w:cs="Times New Roman"/>
          <w:sz w:val="24"/>
          <w:szCs w:val="24"/>
        </w:rPr>
        <w:t>.</w:t>
      </w:r>
      <w:r w:rsidRPr="00695693">
        <w:rPr>
          <w:rFonts w:ascii="Times New Roman" w:hAnsi="Times New Roman" w:cs="Times New Roman"/>
          <w:sz w:val="24"/>
          <w:szCs w:val="24"/>
        </w:rPr>
        <w:t>M</w:t>
      </w:r>
      <w:r w:rsidR="002852D2" w:rsidRPr="00695693">
        <w:rPr>
          <w:rFonts w:ascii="Times New Roman" w:hAnsi="Times New Roman" w:cs="Times New Roman"/>
          <w:sz w:val="24"/>
          <w:szCs w:val="24"/>
        </w:rPr>
        <w:t>.</w:t>
      </w:r>
      <w:r w:rsidRPr="00695693">
        <w:rPr>
          <w:rFonts w:ascii="Times New Roman" w:hAnsi="Times New Roman" w:cs="Times New Roman"/>
          <w:sz w:val="24"/>
          <w:szCs w:val="24"/>
        </w:rPr>
        <w:t>O</w:t>
      </w:r>
      <w:r w:rsidR="002852D2" w:rsidRPr="00695693">
        <w:rPr>
          <w:rFonts w:ascii="Times New Roman" w:hAnsi="Times New Roman" w:cs="Times New Roman"/>
          <w:sz w:val="24"/>
          <w:szCs w:val="24"/>
        </w:rPr>
        <w:t>.</w:t>
      </w:r>
      <w:r w:rsidRPr="00695693">
        <w:rPr>
          <w:rFonts w:ascii="Times New Roman" w:hAnsi="Times New Roman" w:cs="Times New Roman"/>
          <w:sz w:val="24"/>
          <w:szCs w:val="24"/>
        </w:rPr>
        <w:t>A</w:t>
      </w:r>
      <w:r w:rsidR="002852D2" w:rsidRPr="00695693">
        <w:rPr>
          <w:rFonts w:ascii="Times New Roman" w:hAnsi="Times New Roman" w:cs="Times New Roman"/>
          <w:sz w:val="24"/>
          <w:szCs w:val="24"/>
        </w:rPr>
        <w:t>.</w:t>
      </w:r>
      <w:r w:rsidRPr="00695693">
        <w:rPr>
          <w:rFonts w:ascii="Times New Roman" w:hAnsi="Times New Roman" w:cs="Times New Roman"/>
          <w:sz w:val="24"/>
          <w:szCs w:val="24"/>
        </w:rPr>
        <w:t xml:space="preserve">, </w:t>
      </w:r>
      <w:r w:rsidR="00694424" w:rsidRPr="00695693">
        <w:rPr>
          <w:rFonts w:ascii="Times New Roman" w:hAnsi="Times New Roman" w:cs="Times New Roman"/>
          <w:sz w:val="24"/>
          <w:szCs w:val="24"/>
        </w:rPr>
        <w:t xml:space="preserve">Arrêt </w:t>
      </w:r>
      <w:r w:rsidRPr="00695693">
        <w:rPr>
          <w:rFonts w:ascii="Times New Roman" w:hAnsi="Times New Roman" w:cs="Times New Roman"/>
          <w:sz w:val="24"/>
          <w:szCs w:val="24"/>
        </w:rPr>
        <w:t xml:space="preserve">du 30 Avril 2014, </w:t>
      </w:r>
      <w:r w:rsidRPr="00695693">
        <w:rPr>
          <w:rFonts w:ascii="Times New Roman" w:hAnsi="Times New Roman" w:cs="Times New Roman"/>
          <w:i/>
          <w:sz w:val="24"/>
          <w:szCs w:val="24"/>
        </w:rPr>
        <w:t>Recours préjudiciel introduit par la Cour de cassation du Burkina Faso</w:t>
      </w:r>
      <w:r w:rsidRPr="00695693">
        <w:rPr>
          <w:rFonts w:ascii="Times New Roman" w:hAnsi="Times New Roman" w:cs="Times New Roman"/>
          <w:sz w:val="24"/>
          <w:szCs w:val="24"/>
        </w:rPr>
        <w:t>, Aff. n°11 RP 001/</w:t>
      </w:r>
      <w:r w:rsidR="00694424" w:rsidRPr="00695693">
        <w:rPr>
          <w:rFonts w:ascii="Times New Roman" w:hAnsi="Times New Roman" w:cs="Times New Roman"/>
          <w:sz w:val="24"/>
          <w:szCs w:val="24"/>
        </w:rPr>
        <w:t>12</w:t>
      </w:r>
      <w:r w:rsidRPr="00695693">
        <w:rPr>
          <w:rFonts w:ascii="Times New Roman" w:hAnsi="Times New Roman" w:cs="Times New Roman"/>
          <w:sz w:val="24"/>
          <w:szCs w:val="24"/>
        </w:rPr>
        <w:t> ;</w:t>
      </w:r>
    </w:p>
    <w:p w:rsidR="00694424" w:rsidRDefault="004218EB" w:rsidP="00695693">
      <w:pPr>
        <w:pStyle w:val="Paragraphedeliste"/>
        <w:numPr>
          <w:ilvl w:val="0"/>
          <w:numId w:val="45"/>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C</w:t>
      </w:r>
      <w:r w:rsidR="002852D2" w:rsidRPr="00695693">
        <w:rPr>
          <w:rFonts w:ascii="Times New Roman" w:hAnsi="Times New Roman" w:cs="Times New Roman"/>
          <w:sz w:val="24"/>
          <w:szCs w:val="24"/>
        </w:rPr>
        <w:t>.</w:t>
      </w:r>
      <w:r w:rsidRPr="00695693">
        <w:rPr>
          <w:rFonts w:ascii="Times New Roman" w:hAnsi="Times New Roman" w:cs="Times New Roman"/>
          <w:sz w:val="24"/>
          <w:szCs w:val="24"/>
        </w:rPr>
        <w:t>J</w:t>
      </w:r>
      <w:r w:rsidR="002852D2" w:rsidRPr="00695693">
        <w:rPr>
          <w:rFonts w:ascii="Times New Roman" w:hAnsi="Times New Roman" w:cs="Times New Roman"/>
          <w:sz w:val="24"/>
          <w:szCs w:val="24"/>
        </w:rPr>
        <w:t>. /</w:t>
      </w:r>
      <w:r w:rsidRPr="00695693">
        <w:rPr>
          <w:rFonts w:ascii="Times New Roman" w:hAnsi="Times New Roman" w:cs="Times New Roman"/>
          <w:sz w:val="24"/>
          <w:szCs w:val="24"/>
        </w:rPr>
        <w:t>U</w:t>
      </w:r>
      <w:r w:rsidR="002852D2" w:rsidRPr="00695693">
        <w:rPr>
          <w:rFonts w:ascii="Times New Roman" w:hAnsi="Times New Roman" w:cs="Times New Roman"/>
          <w:sz w:val="24"/>
          <w:szCs w:val="24"/>
        </w:rPr>
        <w:t>.</w:t>
      </w:r>
      <w:r w:rsidRPr="00695693">
        <w:rPr>
          <w:rFonts w:ascii="Times New Roman" w:hAnsi="Times New Roman" w:cs="Times New Roman"/>
          <w:sz w:val="24"/>
          <w:szCs w:val="24"/>
        </w:rPr>
        <w:t>E</w:t>
      </w:r>
      <w:r w:rsidR="002852D2" w:rsidRPr="00695693">
        <w:rPr>
          <w:rFonts w:ascii="Times New Roman" w:hAnsi="Times New Roman" w:cs="Times New Roman"/>
          <w:sz w:val="24"/>
          <w:szCs w:val="24"/>
        </w:rPr>
        <w:t>.</w:t>
      </w:r>
      <w:r w:rsidRPr="00695693">
        <w:rPr>
          <w:rFonts w:ascii="Times New Roman" w:hAnsi="Times New Roman" w:cs="Times New Roman"/>
          <w:sz w:val="24"/>
          <w:szCs w:val="24"/>
        </w:rPr>
        <w:t>M</w:t>
      </w:r>
      <w:r w:rsidR="002852D2" w:rsidRPr="00695693">
        <w:rPr>
          <w:rFonts w:ascii="Times New Roman" w:hAnsi="Times New Roman" w:cs="Times New Roman"/>
          <w:sz w:val="24"/>
          <w:szCs w:val="24"/>
        </w:rPr>
        <w:t>.</w:t>
      </w:r>
      <w:r w:rsidRPr="00695693">
        <w:rPr>
          <w:rFonts w:ascii="Times New Roman" w:hAnsi="Times New Roman" w:cs="Times New Roman"/>
          <w:sz w:val="24"/>
          <w:szCs w:val="24"/>
        </w:rPr>
        <w:t>O</w:t>
      </w:r>
      <w:r w:rsidR="002852D2" w:rsidRPr="00695693">
        <w:rPr>
          <w:rFonts w:ascii="Times New Roman" w:hAnsi="Times New Roman" w:cs="Times New Roman"/>
          <w:sz w:val="24"/>
          <w:szCs w:val="24"/>
        </w:rPr>
        <w:t>.</w:t>
      </w:r>
      <w:r w:rsidRPr="00695693">
        <w:rPr>
          <w:rFonts w:ascii="Times New Roman" w:hAnsi="Times New Roman" w:cs="Times New Roman"/>
          <w:sz w:val="24"/>
          <w:szCs w:val="24"/>
        </w:rPr>
        <w:t>A</w:t>
      </w:r>
      <w:r w:rsidR="002852D2" w:rsidRPr="00695693">
        <w:rPr>
          <w:rFonts w:ascii="Times New Roman" w:hAnsi="Times New Roman" w:cs="Times New Roman"/>
          <w:sz w:val="24"/>
          <w:szCs w:val="24"/>
        </w:rPr>
        <w:t>.</w:t>
      </w:r>
      <w:r w:rsidRPr="00695693">
        <w:rPr>
          <w:rFonts w:ascii="Times New Roman" w:hAnsi="Times New Roman" w:cs="Times New Roman"/>
          <w:sz w:val="24"/>
          <w:szCs w:val="24"/>
        </w:rPr>
        <w:t xml:space="preserve">, </w:t>
      </w:r>
      <w:r w:rsidR="00694424" w:rsidRPr="00695693">
        <w:rPr>
          <w:rFonts w:ascii="Times New Roman" w:hAnsi="Times New Roman" w:cs="Times New Roman"/>
          <w:sz w:val="24"/>
          <w:szCs w:val="24"/>
        </w:rPr>
        <w:t xml:space="preserve">Arrêt </w:t>
      </w:r>
      <w:r w:rsidRPr="00695693">
        <w:rPr>
          <w:rFonts w:ascii="Times New Roman" w:hAnsi="Times New Roman" w:cs="Times New Roman"/>
          <w:sz w:val="24"/>
          <w:szCs w:val="24"/>
        </w:rPr>
        <w:t xml:space="preserve">du 30 Avril 2014, </w:t>
      </w:r>
      <w:r w:rsidRPr="00695693">
        <w:rPr>
          <w:rFonts w:ascii="Times New Roman" w:hAnsi="Times New Roman" w:cs="Times New Roman"/>
          <w:i/>
          <w:sz w:val="24"/>
          <w:szCs w:val="24"/>
        </w:rPr>
        <w:t>Recours préjudiciel introduit par la Cour d’appel de Lomé (Togo)</w:t>
      </w:r>
      <w:r w:rsidRPr="00695693">
        <w:rPr>
          <w:rFonts w:ascii="Times New Roman" w:hAnsi="Times New Roman" w:cs="Times New Roman"/>
          <w:sz w:val="24"/>
          <w:szCs w:val="24"/>
        </w:rPr>
        <w:t>, Aff. n°13 RP 001/</w:t>
      </w:r>
      <w:r w:rsidR="00694424" w:rsidRPr="00695693">
        <w:rPr>
          <w:rFonts w:ascii="Times New Roman" w:hAnsi="Times New Roman" w:cs="Times New Roman"/>
          <w:sz w:val="24"/>
          <w:szCs w:val="24"/>
        </w:rPr>
        <w:t>36;</w:t>
      </w:r>
    </w:p>
    <w:p w:rsidR="00F563F6" w:rsidRPr="00695693" w:rsidRDefault="00F563F6" w:rsidP="00695693">
      <w:pPr>
        <w:pStyle w:val="Paragraphedeliste"/>
        <w:numPr>
          <w:ilvl w:val="0"/>
          <w:numId w:val="45"/>
        </w:numPr>
        <w:tabs>
          <w:tab w:val="center" w:pos="453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C.J./U.E.M.O.A., Avis du 18 Mars 2003, </w:t>
      </w:r>
      <w:r w:rsidRPr="00F563F6">
        <w:rPr>
          <w:rFonts w:ascii="Times New Roman" w:hAnsi="Times New Roman" w:cs="Times New Roman"/>
          <w:i/>
          <w:sz w:val="24"/>
          <w:szCs w:val="24"/>
        </w:rPr>
        <w:t>Demande d’Avis de la commission de l’UEMOA relative à la création d’une Cour des comptes au Mali</w:t>
      </w:r>
      <w:r>
        <w:rPr>
          <w:rFonts w:ascii="Times New Roman" w:hAnsi="Times New Roman" w:cs="Times New Roman"/>
          <w:sz w:val="24"/>
          <w:szCs w:val="24"/>
        </w:rPr>
        <w:t>, in UEMOA, Recueil de la jurisprudence de la Cour n°01-2004, pp. 75-85, Avis N°001/2003 ;</w:t>
      </w:r>
    </w:p>
    <w:p w:rsidR="00694424" w:rsidRPr="00695693" w:rsidRDefault="00694424" w:rsidP="00695693">
      <w:pPr>
        <w:tabs>
          <w:tab w:val="center" w:pos="4536"/>
        </w:tabs>
        <w:spacing w:line="360" w:lineRule="auto"/>
        <w:jc w:val="both"/>
        <w:rPr>
          <w:rFonts w:ascii="Times New Roman" w:hAnsi="Times New Roman" w:cs="Times New Roman"/>
          <w:b/>
          <w:sz w:val="24"/>
          <w:szCs w:val="24"/>
        </w:rPr>
      </w:pPr>
      <w:r w:rsidRPr="00695693">
        <w:rPr>
          <w:rFonts w:ascii="Times New Roman" w:hAnsi="Times New Roman" w:cs="Times New Roman"/>
          <w:b/>
          <w:sz w:val="24"/>
          <w:szCs w:val="24"/>
        </w:rPr>
        <w:t xml:space="preserve">B. </w:t>
      </w:r>
      <w:r w:rsidR="001375DF" w:rsidRPr="00695693">
        <w:rPr>
          <w:rFonts w:ascii="Times New Roman" w:hAnsi="Times New Roman" w:cs="Times New Roman"/>
          <w:b/>
          <w:sz w:val="24"/>
          <w:szCs w:val="24"/>
        </w:rPr>
        <w:t xml:space="preserve">cour de justice des communautés européennes </w:t>
      </w:r>
    </w:p>
    <w:p w:rsidR="00694424" w:rsidRPr="00695693"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C.J.C.E., Arrêt du 06 Avril 1962, </w:t>
      </w:r>
      <w:r w:rsidRPr="00695693">
        <w:rPr>
          <w:rFonts w:ascii="Times New Roman" w:hAnsi="Times New Roman" w:cs="Times New Roman"/>
          <w:i/>
          <w:sz w:val="24"/>
          <w:szCs w:val="24"/>
        </w:rPr>
        <w:t>Bosch</w:t>
      </w:r>
      <w:r w:rsidRPr="00695693">
        <w:rPr>
          <w:rFonts w:ascii="Times New Roman" w:hAnsi="Times New Roman" w:cs="Times New Roman"/>
          <w:sz w:val="24"/>
          <w:szCs w:val="24"/>
        </w:rPr>
        <w:t>, Aff. 13/61 ;</w:t>
      </w:r>
    </w:p>
    <w:p w:rsidR="00694424" w:rsidRPr="00695693"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C.J.C.E., Arrêt du 05 Février 1963, </w:t>
      </w:r>
      <w:r w:rsidRPr="00695693">
        <w:rPr>
          <w:rFonts w:ascii="Times New Roman" w:hAnsi="Times New Roman" w:cs="Times New Roman"/>
          <w:i/>
          <w:sz w:val="24"/>
          <w:szCs w:val="24"/>
        </w:rPr>
        <w:t>Vand Gend en Loos</w:t>
      </w:r>
      <w:r w:rsidRPr="00695693">
        <w:rPr>
          <w:rFonts w:ascii="Times New Roman" w:hAnsi="Times New Roman" w:cs="Times New Roman"/>
          <w:sz w:val="24"/>
          <w:szCs w:val="24"/>
        </w:rPr>
        <w:t>, Aff. 26/62 ;</w:t>
      </w:r>
    </w:p>
    <w:p w:rsidR="00694424" w:rsidRPr="00695693"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C.J.C.E., Arrêt du 27 Mars 1963, </w:t>
      </w:r>
      <w:r w:rsidRPr="00695693">
        <w:rPr>
          <w:rFonts w:ascii="Times New Roman" w:hAnsi="Times New Roman" w:cs="Times New Roman"/>
          <w:i/>
          <w:sz w:val="24"/>
          <w:szCs w:val="24"/>
        </w:rPr>
        <w:t>Da Costa c/Administration fiscale néerlandaise,</w:t>
      </w:r>
      <w:r w:rsidRPr="00695693">
        <w:rPr>
          <w:rFonts w:ascii="Times New Roman" w:hAnsi="Times New Roman" w:cs="Times New Roman"/>
          <w:sz w:val="24"/>
          <w:szCs w:val="24"/>
        </w:rPr>
        <w:t xml:space="preserve"> Aff. 28 à 30/62 ;</w:t>
      </w:r>
    </w:p>
    <w:p w:rsidR="00694424" w:rsidRPr="00695693"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C.J.C.E., Arrêt du 15 Juillet 1964, </w:t>
      </w:r>
      <w:r w:rsidRPr="00695693">
        <w:rPr>
          <w:rFonts w:ascii="Times New Roman" w:hAnsi="Times New Roman" w:cs="Times New Roman"/>
          <w:i/>
          <w:sz w:val="24"/>
          <w:szCs w:val="24"/>
        </w:rPr>
        <w:t>Costa c/ENEL</w:t>
      </w:r>
      <w:r w:rsidRPr="00695693">
        <w:rPr>
          <w:rFonts w:ascii="Times New Roman" w:hAnsi="Times New Roman" w:cs="Times New Roman"/>
          <w:sz w:val="24"/>
          <w:szCs w:val="24"/>
        </w:rPr>
        <w:t>, Aff. 6/64 ;</w:t>
      </w:r>
    </w:p>
    <w:p w:rsidR="00694424" w:rsidRPr="00695693"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lastRenderedPageBreak/>
        <w:t>C.J.C.E., Arrêt du 1</w:t>
      </w:r>
      <w:r w:rsidRPr="00695693">
        <w:rPr>
          <w:rFonts w:ascii="Times New Roman" w:hAnsi="Times New Roman" w:cs="Times New Roman"/>
          <w:sz w:val="24"/>
          <w:szCs w:val="24"/>
          <w:vertAlign w:val="superscript"/>
        </w:rPr>
        <w:t>er</w:t>
      </w:r>
      <w:r w:rsidRPr="00695693">
        <w:rPr>
          <w:rFonts w:ascii="Times New Roman" w:hAnsi="Times New Roman" w:cs="Times New Roman"/>
          <w:sz w:val="24"/>
          <w:szCs w:val="24"/>
        </w:rPr>
        <w:t xml:space="preserve"> Décembre 1965, </w:t>
      </w:r>
      <w:r w:rsidRPr="00695693">
        <w:rPr>
          <w:rFonts w:ascii="Times New Roman" w:hAnsi="Times New Roman" w:cs="Times New Roman"/>
          <w:i/>
          <w:sz w:val="24"/>
          <w:szCs w:val="24"/>
        </w:rPr>
        <w:t>FirmaSchwerze</w:t>
      </w:r>
      <w:r w:rsidRPr="00695693">
        <w:rPr>
          <w:rFonts w:ascii="Times New Roman" w:hAnsi="Times New Roman" w:cs="Times New Roman"/>
          <w:sz w:val="24"/>
          <w:szCs w:val="24"/>
        </w:rPr>
        <w:t>, Aff. 16/65 ;</w:t>
      </w:r>
    </w:p>
    <w:p w:rsidR="00694424" w:rsidRPr="00695693"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C.J.C.E., Arrêt du 09 Décembre 1965, </w:t>
      </w:r>
      <w:r w:rsidRPr="00695693">
        <w:rPr>
          <w:rFonts w:ascii="Times New Roman" w:hAnsi="Times New Roman" w:cs="Times New Roman"/>
          <w:i/>
          <w:sz w:val="24"/>
          <w:szCs w:val="24"/>
        </w:rPr>
        <w:t>HessischeKnappschaft</w:t>
      </w:r>
      <w:r w:rsidRPr="00695693">
        <w:rPr>
          <w:rFonts w:ascii="Times New Roman" w:hAnsi="Times New Roman" w:cs="Times New Roman"/>
          <w:sz w:val="24"/>
          <w:szCs w:val="24"/>
        </w:rPr>
        <w:t>, Aff. 44/65 ;</w:t>
      </w:r>
    </w:p>
    <w:p w:rsidR="00694424" w:rsidRPr="00695693"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C.J.C.E., Arrêt du 30 Juin 1966, </w:t>
      </w:r>
      <w:r w:rsidRPr="00695693">
        <w:rPr>
          <w:rFonts w:ascii="Times New Roman" w:hAnsi="Times New Roman" w:cs="Times New Roman"/>
          <w:i/>
          <w:sz w:val="24"/>
          <w:szCs w:val="24"/>
        </w:rPr>
        <w:t>Veuve G. VaassenGobbels</w:t>
      </w:r>
      <w:r w:rsidRPr="00695693">
        <w:rPr>
          <w:rFonts w:ascii="Times New Roman" w:hAnsi="Times New Roman" w:cs="Times New Roman"/>
          <w:sz w:val="24"/>
          <w:szCs w:val="24"/>
        </w:rPr>
        <w:t>, Aff. 61/65 ;</w:t>
      </w:r>
    </w:p>
    <w:p w:rsidR="00694424"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C.J.C.E., Arrêt du 03 Avril 1968, </w:t>
      </w:r>
      <w:r w:rsidRPr="00695693">
        <w:rPr>
          <w:rFonts w:ascii="Times New Roman" w:hAnsi="Times New Roman" w:cs="Times New Roman"/>
          <w:i/>
          <w:sz w:val="24"/>
          <w:szCs w:val="24"/>
        </w:rPr>
        <w:t>MolkereiZentrale</w:t>
      </w:r>
      <w:r w:rsidRPr="00695693">
        <w:rPr>
          <w:rFonts w:ascii="Times New Roman" w:hAnsi="Times New Roman" w:cs="Times New Roman"/>
          <w:sz w:val="24"/>
          <w:szCs w:val="24"/>
        </w:rPr>
        <w:t>, Aff. 28/67 ;</w:t>
      </w:r>
    </w:p>
    <w:p w:rsidR="00136567" w:rsidRPr="00695693" w:rsidRDefault="00136567"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C.J.C.E., Arrêt du 16 Mai 1968, </w:t>
      </w:r>
      <w:r w:rsidRPr="00136567">
        <w:rPr>
          <w:rFonts w:ascii="Times New Roman" w:hAnsi="Times New Roman" w:cs="Times New Roman"/>
          <w:i/>
          <w:sz w:val="24"/>
          <w:szCs w:val="24"/>
        </w:rPr>
        <w:t>Firma Becher</w:t>
      </w:r>
      <w:r>
        <w:rPr>
          <w:rFonts w:ascii="Times New Roman" w:hAnsi="Times New Roman" w:cs="Times New Roman"/>
          <w:sz w:val="24"/>
          <w:szCs w:val="24"/>
        </w:rPr>
        <w:t>, Aff. 13/67 ;</w:t>
      </w:r>
    </w:p>
    <w:p w:rsidR="00694424" w:rsidRPr="00695693"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C.J.C.E., Arrêt du 25 Février 1969, </w:t>
      </w:r>
      <w:r w:rsidRPr="00695693">
        <w:rPr>
          <w:rFonts w:ascii="Times New Roman" w:hAnsi="Times New Roman" w:cs="Times New Roman"/>
          <w:i/>
          <w:sz w:val="24"/>
          <w:szCs w:val="24"/>
        </w:rPr>
        <w:t>Klomp</w:t>
      </w:r>
      <w:r w:rsidRPr="00695693">
        <w:rPr>
          <w:rFonts w:ascii="Times New Roman" w:hAnsi="Times New Roman" w:cs="Times New Roman"/>
          <w:sz w:val="24"/>
          <w:szCs w:val="24"/>
        </w:rPr>
        <w:t>, Aff. 23/68 ;</w:t>
      </w:r>
    </w:p>
    <w:p w:rsidR="00694424" w:rsidRPr="00695693"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C.J.C.E., Arrêt du 06 Octobre 1970, </w:t>
      </w:r>
      <w:r w:rsidRPr="00695693">
        <w:rPr>
          <w:rFonts w:ascii="Times New Roman" w:hAnsi="Times New Roman" w:cs="Times New Roman"/>
          <w:i/>
          <w:sz w:val="24"/>
          <w:szCs w:val="24"/>
        </w:rPr>
        <w:t>Franz Grad</w:t>
      </w:r>
      <w:r w:rsidRPr="00695693">
        <w:rPr>
          <w:rFonts w:ascii="Times New Roman" w:hAnsi="Times New Roman" w:cs="Times New Roman"/>
          <w:sz w:val="24"/>
          <w:szCs w:val="24"/>
        </w:rPr>
        <w:t>, Aff. 9/10 ;</w:t>
      </w:r>
    </w:p>
    <w:p w:rsidR="00694424" w:rsidRPr="00695693"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C.J.C.E., Arrêt du 15 Juin 1972, </w:t>
      </w:r>
      <w:r w:rsidRPr="00695693">
        <w:rPr>
          <w:rFonts w:ascii="Times New Roman" w:hAnsi="Times New Roman" w:cs="Times New Roman"/>
          <w:i/>
          <w:sz w:val="24"/>
          <w:szCs w:val="24"/>
        </w:rPr>
        <w:t>FratelliGrassi</w:t>
      </w:r>
      <w:r w:rsidRPr="00695693">
        <w:rPr>
          <w:rFonts w:ascii="Times New Roman" w:hAnsi="Times New Roman" w:cs="Times New Roman"/>
          <w:sz w:val="24"/>
          <w:szCs w:val="24"/>
        </w:rPr>
        <w:t>, Aff. 5/72 ;</w:t>
      </w:r>
    </w:p>
    <w:p w:rsidR="00694424" w:rsidRPr="00695693"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C.J.C.E., Arrêt du 04 Décembre 1974, </w:t>
      </w:r>
      <w:r w:rsidRPr="00695693">
        <w:rPr>
          <w:rFonts w:ascii="Times New Roman" w:hAnsi="Times New Roman" w:cs="Times New Roman"/>
          <w:i/>
          <w:sz w:val="24"/>
          <w:szCs w:val="24"/>
        </w:rPr>
        <w:t>Van Duyn</w:t>
      </w:r>
      <w:r w:rsidRPr="00695693">
        <w:rPr>
          <w:rFonts w:ascii="Times New Roman" w:hAnsi="Times New Roman" w:cs="Times New Roman"/>
          <w:sz w:val="24"/>
          <w:szCs w:val="24"/>
        </w:rPr>
        <w:t>, Aff. 41/74 ;</w:t>
      </w:r>
    </w:p>
    <w:p w:rsidR="00694424"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C.J.C.E., Arrêt du 16 Janvier 1974, </w:t>
      </w:r>
      <w:r w:rsidRPr="00695693">
        <w:rPr>
          <w:rFonts w:ascii="Times New Roman" w:hAnsi="Times New Roman" w:cs="Times New Roman"/>
          <w:i/>
          <w:sz w:val="24"/>
          <w:szCs w:val="24"/>
        </w:rPr>
        <w:t>Rheinmuhlen</w:t>
      </w:r>
      <w:r w:rsidRPr="00695693">
        <w:rPr>
          <w:rFonts w:ascii="Times New Roman" w:hAnsi="Times New Roman" w:cs="Times New Roman"/>
          <w:sz w:val="24"/>
          <w:szCs w:val="24"/>
        </w:rPr>
        <w:t>, Aff. 166/73 ;</w:t>
      </w:r>
    </w:p>
    <w:p w:rsidR="001D16C2" w:rsidRPr="00695693" w:rsidRDefault="001D16C2"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C.J.C.E., Arrêt du 30 Octobre 1975, </w:t>
      </w:r>
      <w:r w:rsidRPr="001D16C2">
        <w:rPr>
          <w:rFonts w:ascii="Times New Roman" w:hAnsi="Times New Roman" w:cs="Times New Roman"/>
          <w:i/>
          <w:sz w:val="24"/>
          <w:szCs w:val="24"/>
        </w:rPr>
        <w:t>Rey Soda</w:t>
      </w:r>
      <w:r>
        <w:rPr>
          <w:rFonts w:ascii="Times New Roman" w:hAnsi="Times New Roman" w:cs="Times New Roman"/>
          <w:sz w:val="24"/>
          <w:szCs w:val="24"/>
        </w:rPr>
        <w:t>, Aff. 23/75 ;</w:t>
      </w:r>
    </w:p>
    <w:p w:rsidR="00694424" w:rsidRPr="00695693"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C.J.C.E., Arrêt du 08 Avril 1976, </w:t>
      </w:r>
      <w:r w:rsidRPr="00695693">
        <w:rPr>
          <w:rFonts w:ascii="Times New Roman" w:hAnsi="Times New Roman" w:cs="Times New Roman"/>
          <w:i/>
          <w:sz w:val="24"/>
          <w:szCs w:val="24"/>
        </w:rPr>
        <w:t>Defrenne</w:t>
      </w:r>
      <w:r w:rsidRPr="00695693">
        <w:rPr>
          <w:rFonts w:ascii="Times New Roman" w:hAnsi="Times New Roman" w:cs="Times New Roman"/>
          <w:sz w:val="24"/>
          <w:szCs w:val="24"/>
        </w:rPr>
        <w:t>, Aff. 43/75 ;</w:t>
      </w:r>
    </w:p>
    <w:p w:rsidR="00694424" w:rsidRPr="00695693"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C.J.C.E., Arrêt du 20 Mai 1976, </w:t>
      </w:r>
      <w:r w:rsidRPr="00695693">
        <w:rPr>
          <w:rFonts w:ascii="Times New Roman" w:hAnsi="Times New Roman" w:cs="Times New Roman"/>
          <w:i/>
          <w:sz w:val="24"/>
          <w:szCs w:val="24"/>
        </w:rPr>
        <w:t>Mazzalai</w:t>
      </w:r>
      <w:r w:rsidRPr="00695693">
        <w:rPr>
          <w:rFonts w:ascii="Times New Roman" w:hAnsi="Times New Roman" w:cs="Times New Roman"/>
          <w:sz w:val="24"/>
          <w:szCs w:val="24"/>
        </w:rPr>
        <w:t>, Aff. 111/75 ;</w:t>
      </w:r>
    </w:p>
    <w:p w:rsidR="00694424" w:rsidRPr="00695693"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C.J.C.E., Arrêt du 03 Février 1977, </w:t>
      </w:r>
      <w:r w:rsidRPr="00695693">
        <w:rPr>
          <w:rFonts w:ascii="Times New Roman" w:hAnsi="Times New Roman" w:cs="Times New Roman"/>
          <w:i/>
          <w:sz w:val="24"/>
          <w:szCs w:val="24"/>
        </w:rPr>
        <w:t>Benedetti</w:t>
      </w:r>
      <w:r w:rsidRPr="00695693">
        <w:rPr>
          <w:rFonts w:ascii="Times New Roman" w:hAnsi="Times New Roman" w:cs="Times New Roman"/>
          <w:sz w:val="24"/>
          <w:szCs w:val="24"/>
        </w:rPr>
        <w:t>, Aff. 52/76 ;</w:t>
      </w:r>
    </w:p>
    <w:p w:rsidR="00694424"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C.J.C.E., Arrêt du 09 Mars 1978, </w:t>
      </w:r>
      <w:r w:rsidRPr="00695693">
        <w:rPr>
          <w:rFonts w:ascii="Times New Roman" w:hAnsi="Times New Roman" w:cs="Times New Roman"/>
          <w:i/>
          <w:sz w:val="24"/>
          <w:szCs w:val="24"/>
        </w:rPr>
        <w:t>Simmenthal,</w:t>
      </w:r>
      <w:r w:rsidRPr="00695693">
        <w:rPr>
          <w:rFonts w:ascii="Times New Roman" w:hAnsi="Times New Roman" w:cs="Times New Roman"/>
          <w:sz w:val="24"/>
          <w:szCs w:val="24"/>
        </w:rPr>
        <w:t xml:space="preserve"> Aff. 106/77 ;</w:t>
      </w:r>
    </w:p>
    <w:p w:rsidR="00136567" w:rsidRDefault="00136567"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C.J.C.E., Arrêt du 28 Mars 1979, </w:t>
      </w:r>
      <w:r w:rsidRPr="00136567">
        <w:rPr>
          <w:rFonts w:ascii="Times New Roman" w:hAnsi="Times New Roman" w:cs="Times New Roman"/>
          <w:i/>
          <w:sz w:val="24"/>
          <w:szCs w:val="24"/>
        </w:rPr>
        <w:t>ICAP c/ Beneventi</w:t>
      </w:r>
      <w:r>
        <w:rPr>
          <w:rFonts w:ascii="Times New Roman" w:hAnsi="Times New Roman" w:cs="Times New Roman"/>
          <w:sz w:val="24"/>
          <w:szCs w:val="24"/>
        </w:rPr>
        <w:t>, Aff. 222/78 ;</w:t>
      </w:r>
    </w:p>
    <w:p w:rsidR="00C33946" w:rsidRPr="00695693" w:rsidRDefault="00C33946"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C.J.C.E., Arrêt du 04 Octobre 1979, </w:t>
      </w:r>
      <w:r w:rsidRPr="00C33946">
        <w:rPr>
          <w:rFonts w:ascii="Times New Roman" w:hAnsi="Times New Roman" w:cs="Times New Roman"/>
          <w:i/>
          <w:sz w:val="24"/>
          <w:szCs w:val="24"/>
        </w:rPr>
        <w:t>IreksArkady c/ Commission</w:t>
      </w:r>
      <w:r>
        <w:rPr>
          <w:rFonts w:ascii="Times New Roman" w:hAnsi="Times New Roman" w:cs="Times New Roman"/>
          <w:sz w:val="24"/>
          <w:szCs w:val="24"/>
        </w:rPr>
        <w:t>, Aff. 238/78 ;</w:t>
      </w:r>
    </w:p>
    <w:p w:rsidR="00694424" w:rsidRPr="00695693"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C.J.C.E., Arrêt du 11 Mars 1980, </w:t>
      </w:r>
      <w:r w:rsidRPr="00695693">
        <w:rPr>
          <w:rFonts w:ascii="Times New Roman" w:hAnsi="Times New Roman" w:cs="Times New Roman"/>
          <w:i/>
          <w:sz w:val="24"/>
          <w:szCs w:val="24"/>
        </w:rPr>
        <w:t>PasqualeFoglia c/Mariella</w:t>
      </w:r>
      <w:r w:rsidRPr="00695693">
        <w:rPr>
          <w:rFonts w:ascii="Times New Roman" w:hAnsi="Times New Roman" w:cs="Times New Roman"/>
          <w:sz w:val="24"/>
          <w:szCs w:val="24"/>
        </w:rPr>
        <w:t> ;</w:t>
      </w:r>
    </w:p>
    <w:p w:rsidR="00694424" w:rsidRPr="00695693"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C.J.C.E., Arrêt du 24 Avril 1980, </w:t>
      </w:r>
      <w:r w:rsidRPr="00695693">
        <w:rPr>
          <w:rFonts w:ascii="Times New Roman" w:hAnsi="Times New Roman" w:cs="Times New Roman"/>
          <w:i/>
          <w:sz w:val="24"/>
          <w:szCs w:val="24"/>
        </w:rPr>
        <w:t>Procureur de la Republique c/Rénéchatain</w:t>
      </w:r>
      <w:r w:rsidRPr="00695693">
        <w:rPr>
          <w:rFonts w:ascii="Times New Roman" w:hAnsi="Times New Roman" w:cs="Times New Roman"/>
          <w:sz w:val="24"/>
          <w:szCs w:val="24"/>
        </w:rPr>
        <w:t>, Aff. 65/79 ;</w:t>
      </w:r>
    </w:p>
    <w:p w:rsidR="00694424" w:rsidRPr="00695693"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C.J.C.E., Arrêt du 15 Octobre 1980, </w:t>
      </w:r>
      <w:r w:rsidRPr="00695693">
        <w:rPr>
          <w:rFonts w:ascii="Times New Roman" w:hAnsi="Times New Roman" w:cs="Times New Roman"/>
          <w:i/>
          <w:sz w:val="24"/>
          <w:szCs w:val="24"/>
        </w:rPr>
        <w:t>Providence agricole</w:t>
      </w:r>
      <w:r w:rsidRPr="00695693">
        <w:rPr>
          <w:rFonts w:ascii="Times New Roman" w:hAnsi="Times New Roman" w:cs="Times New Roman"/>
          <w:sz w:val="24"/>
          <w:szCs w:val="24"/>
        </w:rPr>
        <w:t>, Aff. 4/79 ;</w:t>
      </w:r>
    </w:p>
    <w:p w:rsidR="00694424" w:rsidRPr="00695693"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C.J.C.E., Arrêt du 15 Octobre 1980, </w:t>
      </w:r>
      <w:r w:rsidRPr="00695693">
        <w:rPr>
          <w:rFonts w:ascii="Times New Roman" w:hAnsi="Times New Roman" w:cs="Times New Roman"/>
          <w:i/>
          <w:sz w:val="24"/>
          <w:szCs w:val="24"/>
        </w:rPr>
        <w:t>Roquette</w:t>
      </w:r>
      <w:r w:rsidRPr="00695693">
        <w:rPr>
          <w:rFonts w:ascii="Times New Roman" w:hAnsi="Times New Roman" w:cs="Times New Roman"/>
          <w:sz w:val="24"/>
          <w:szCs w:val="24"/>
        </w:rPr>
        <w:t>, Aff. 145/79 ;</w:t>
      </w:r>
    </w:p>
    <w:p w:rsidR="00694424" w:rsidRPr="00695693"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C.J.C.E., Arrêt du 04 Décembre 1980, </w:t>
      </w:r>
      <w:r w:rsidRPr="00695693">
        <w:rPr>
          <w:rFonts w:ascii="Times New Roman" w:hAnsi="Times New Roman" w:cs="Times New Roman"/>
          <w:i/>
          <w:sz w:val="24"/>
          <w:szCs w:val="24"/>
        </w:rPr>
        <w:t>Procureur de la Republique c/Samuel Wilner</w:t>
      </w:r>
      <w:r w:rsidRPr="00695693">
        <w:rPr>
          <w:rFonts w:ascii="Times New Roman" w:hAnsi="Times New Roman" w:cs="Times New Roman"/>
          <w:sz w:val="24"/>
          <w:szCs w:val="24"/>
        </w:rPr>
        <w:t>, Aff. 54/80 ;</w:t>
      </w:r>
    </w:p>
    <w:p w:rsidR="00694424" w:rsidRPr="00695693"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C.J.C.E., Arrêt du 10 Mars 1981, </w:t>
      </w:r>
      <w:r w:rsidRPr="00695693">
        <w:rPr>
          <w:rFonts w:ascii="Times New Roman" w:hAnsi="Times New Roman" w:cs="Times New Roman"/>
          <w:i/>
          <w:sz w:val="24"/>
          <w:szCs w:val="24"/>
        </w:rPr>
        <w:t>Irish Creamery</w:t>
      </w:r>
      <w:r w:rsidRPr="00695693">
        <w:rPr>
          <w:rFonts w:ascii="Times New Roman" w:hAnsi="Times New Roman" w:cs="Times New Roman"/>
          <w:sz w:val="24"/>
          <w:szCs w:val="24"/>
        </w:rPr>
        <w:t>, Aff. 36 et 71/80 ;</w:t>
      </w:r>
    </w:p>
    <w:p w:rsidR="00694424" w:rsidRPr="00695693"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C.J.C.E., Arrêt du 13 Mai 1981, </w:t>
      </w:r>
      <w:r w:rsidRPr="00695693">
        <w:rPr>
          <w:rFonts w:ascii="Times New Roman" w:hAnsi="Times New Roman" w:cs="Times New Roman"/>
          <w:i/>
          <w:sz w:val="24"/>
          <w:szCs w:val="24"/>
        </w:rPr>
        <w:t>International Chemical company</w:t>
      </w:r>
      <w:r w:rsidRPr="00695693">
        <w:rPr>
          <w:rFonts w:ascii="Times New Roman" w:hAnsi="Times New Roman" w:cs="Times New Roman"/>
          <w:sz w:val="24"/>
          <w:szCs w:val="24"/>
        </w:rPr>
        <w:t>, Aff. 66/80 ;</w:t>
      </w:r>
    </w:p>
    <w:p w:rsidR="00694424" w:rsidRPr="00695693"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C.J.C.E., Arrêt du 16 Juin 1981, </w:t>
      </w:r>
      <w:r w:rsidRPr="00695693">
        <w:rPr>
          <w:rFonts w:ascii="Times New Roman" w:hAnsi="Times New Roman" w:cs="Times New Roman"/>
          <w:i/>
          <w:sz w:val="24"/>
          <w:szCs w:val="24"/>
        </w:rPr>
        <w:t>Salonia</w:t>
      </w:r>
      <w:r w:rsidRPr="00695693">
        <w:rPr>
          <w:rFonts w:ascii="Times New Roman" w:hAnsi="Times New Roman" w:cs="Times New Roman"/>
          <w:sz w:val="24"/>
          <w:szCs w:val="24"/>
        </w:rPr>
        <w:t>, Aff. 126/80 ;</w:t>
      </w:r>
    </w:p>
    <w:p w:rsidR="00694424" w:rsidRPr="00695693"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C.J.C.E., Arrêt du 16 Décembre 1981, </w:t>
      </w:r>
      <w:r w:rsidRPr="00695693">
        <w:rPr>
          <w:rFonts w:ascii="Times New Roman" w:hAnsi="Times New Roman" w:cs="Times New Roman"/>
          <w:i/>
          <w:sz w:val="24"/>
          <w:szCs w:val="24"/>
        </w:rPr>
        <w:t>Foglia</w:t>
      </w:r>
      <w:r w:rsidRPr="00695693">
        <w:rPr>
          <w:rFonts w:ascii="Times New Roman" w:hAnsi="Times New Roman" w:cs="Times New Roman"/>
          <w:sz w:val="24"/>
          <w:szCs w:val="24"/>
        </w:rPr>
        <w:t>, Aff. 244/80 ;</w:t>
      </w:r>
    </w:p>
    <w:p w:rsidR="00694424" w:rsidRPr="00695693"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C.J.C.E., Arrêt du 23 Mars 1982, </w:t>
      </w:r>
      <w:r w:rsidRPr="00695693">
        <w:rPr>
          <w:rFonts w:ascii="Times New Roman" w:hAnsi="Times New Roman" w:cs="Times New Roman"/>
          <w:i/>
          <w:sz w:val="24"/>
          <w:szCs w:val="24"/>
        </w:rPr>
        <w:t>Nordsee</w:t>
      </w:r>
      <w:r w:rsidRPr="00695693">
        <w:rPr>
          <w:rFonts w:ascii="Times New Roman" w:hAnsi="Times New Roman" w:cs="Times New Roman"/>
          <w:sz w:val="24"/>
          <w:szCs w:val="24"/>
        </w:rPr>
        <w:t>, Aff. 102/81 ;</w:t>
      </w:r>
    </w:p>
    <w:p w:rsidR="00694424" w:rsidRPr="00695693"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C.J.C.E., Arrêt du 14 Janvier 1982, </w:t>
      </w:r>
      <w:r w:rsidRPr="00695693">
        <w:rPr>
          <w:rFonts w:ascii="Times New Roman" w:hAnsi="Times New Roman" w:cs="Times New Roman"/>
          <w:i/>
          <w:sz w:val="24"/>
          <w:szCs w:val="24"/>
        </w:rPr>
        <w:t>Reina c/Landerkreditbank</w:t>
      </w:r>
      <w:r w:rsidRPr="00695693">
        <w:rPr>
          <w:rFonts w:ascii="Times New Roman" w:hAnsi="Times New Roman" w:cs="Times New Roman"/>
          <w:sz w:val="24"/>
          <w:szCs w:val="24"/>
        </w:rPr>
        <w:t>, Aff. C- 143/99 ;</w:t>
      </w:r>
    </w:p>
    <w:p w:rsidR="00694424"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C.J.C.E., Arrêt du 06 Octobre 1982, </w:t>
      </w:r>
      <w:r w:rsidRPr="00695693">
        <w:rPr>
          <w:rFonts w:ascii="Times New Roman" w:hAnsi="Times New Roman" w:cs="Times New Roman"/>
          <w:i/>
          <w:sz w:val="24"/>
          <w:szCs w:val="24"/>
        </w:rPr>
        <w:t>Cilfit c/Ministère de la Santé</w:t>
      </w:r>
      <w:r w:rsidRPr="00695693">
        <w:rPr>
          <w:rFonts w:ascii="Times New Roman" w:hAnsi="Times New Roman" w:cs="Times New Roman"/>
          <w:sz w:val="24"/>
          <w:szCs w:val="24"/>
        </w:rPr>
        <w:t>, Aff. 283/81 ;</w:t>
      </w:r>
    </w:p>
    <w:p w:rsidR="00361843" w:rsidRPr="00695693" w:rsidRDefault="00361843"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C.J.C.E., Arrêt du 27 Février 1985, </w:t>
      </w:r>
      <w:r w:rsidRPr="00D12992">
        <w:rPr>
          <w:rFonts w:ascii="Times New Roman" w:hAnsi="Times New Roman" w:cs="Times New Roman"/>
          <w:i/>
          <w:sz w:val="24"/>
          <w:szCs w:val="24"/>
        </w:rPr>
        <w:t>Société des produits de maïs SA c/Administration des douanes</w:t>
      </w:r>
      <w:r>
        <w:rPr>
          <w:rFonts w:ascii="Times New Roman" w:hAnsi="Times New Roman" w:cs="Times New Roman"/>
          <w:sz w:val="24"/>
          <w:szCs w:val="24"/>
        </w:rPr>
        <w:t xml:space="preserve">, Aff. 112/83 ; </w:t>
      </w:r>
    </w:p>
    <w:p w:rsidR="00694424"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C.J.C.E., Arrêt du 15 Janvier 1986, </w:t>
      </w:r>
      <w:r w:rsidRPr="00695693">
        <w:rPr>
          <w:rFonts w:ascii="Times New Roman" w:hAnsi="Times New Roman" w:cs="Times New Roman"/>
          <w:i/>
          <w:sz w:val="24"/>
          <w:szCs w:val="24"/>
        </w:rPr>
        <w:t>Hurd</w:t>
      </w:r>
      <w:r w:rsidRPr="00695693">
        <w:rPr>
          <w:rFonts w:ascii="Times New Roman" w:hAnsi="Times New Roman" w:cs="Times New Roman"/>
          <w:sz w:val="24"/>
          <w:szCs w:val="24"/>
        </w:rPr>
        <w:t>, Aff. 44/84 ;</w:t>
      </w:r>
    </w:p>
    <w:p w:rsidR="00C33946" w:rsidRPr="00695693" w:rsidRDefault="00C33946"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C.J.C.E., Arrêt du 26 Février 1987, </w:t>
      </w:r>
      <w:r w:rsidRPr="00C33946">
        <w:rPr>
          <w:rFonts w:ascii="Times New Roman" w:hAnsi="Times New Roman" w:cs="Times New Roman"/>
          <w:i/>
          <w:sz w:val="24"/>
          <w:szCs w:val="24"/>
        </w:rPr>
        <w:t>Consorzio Coopérative d’Abruzzo</w:t>
      </w:r>
      <w:r>
        <w:rPr>
          <w:rFonts w:ascii="Times New Roman" w:hAnsi="Times New Roman" w:cs="Times New Roman"/>
          <w:sz w:val="24"/>
          <w:szCs w:val="24"/>
        </w:rPr>
        <w:t>, Aff. 15/85 ;</w:t>
      </w:r>
    </w:p>
    <w:p w:rsidR="00694424"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C.J.C.E., Arrêt du 11 Juin 1987, </w:t>
      </w:r>
      <w:r w:rsidRPr="00695693">
        <w:rPr>
          <w:rFonts w:ascii="Times New Roman" w:hAnsi="Times New Roman" w:cs="Times New Roman"/>
          <w:i/>
          <w:sz w:val="24"/>
          <w:szCs w:val="24"/>
        </w:rPr>
        <w:t>Pretore di Salo</w:t>
      </w:r>
      <w:r w:rsidRPr="00695693">
        <w:rPr>
          <w:rFonts w:ascii="Times New Roman" w:hAnsi="Times New Roman" w:cs="Times New Roman"/>
          <w:sz w:val="24"/>
          <w:szCs w:val="24"/>
        </w:rPr>
        <w:t>, Aff. 14/86 ;</w:t>
      </w:r>
    </w:p>
    <w:p w:rsidR="00710FF9" w:rsidRDefault="00710FF9"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C.J.C.E., Arrêt du 22 Octobre 1987, </w:t>
      </w:r>
      <w:r w:rsidRPr="00710FF9">
        <w:rPr>
          <w:rFonts w:ascii="Times New Roman" w:hAnsi="Times New Roman" w:cs="Times New Roman"/>
          <w:i/>
          <w:sz w:val="24"/>
          <w:szCs w:val="24"/>
        </w:rPr>
        <w:t>Foto-Frost</w:t>
      </w:r>
      <w:r>
        <w:rPr>
          <w:rFonts w:ascii="Times New Roman" w:hAnsi="Times New Roman" w:cs="Times New Roman"/>
          <w:sz w:val="24"/>
          <w:szCs w:val="24"/>
        </w:rPr>
        <w:t>, Aff. 314/85 ;</w:t>
      </w:r>
    </w:p>
    <w:p w:rsidR="001D16C2" w:rsidRPr="00695693" w:rsidRDefault="001D16C2"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C.J.C.E., Arrêt du 02 Mars 1989, </w:t>
      </w:r>
      <w:r w:rsidRPr="001D16C2">
        <w:rPr>
          <w:rFonts w:ascii="Times New Roman" w:hAnsi="Times New Roman" w:cs="Times New Roman"/>
          <w:i/>
          <w:sz w:val="24"/>
          <w:szCs w:val="24"/>
        </w:rPr>
        <w:t>Pinna c/ Caisse d’Allocations Familiales de la Savoie</w:t>
      </w:r>
      <w:r>
        <w:rPr>
          <w:rFonts w:ascii="Times New Roman" w:hAnsi="Times New Roman" w:cs="Times New Roman"/>
          <w:sz w:val="24"/>
          <w:szCs w:val="24"/>
        </w:rPr>
        <w:t>, Aff. 359/87 ;</w:t>
      </w:r>
    </w:p>
    <w:p w:rsidR="00694424"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C.J.C.E., Arrêt du 17 Octobre 1989, </w:t>
      </w:r>
      <w:r w:rsidRPr="00695693">
        <w:rPr>
          <w:rFonts w:ascii="Times New Roman" w:hAnsi="Times New Roman" w:cs="Times New Roman"/>
          <w:i/>
          <w:sz w:val="24"/>
          <w:szCs w:val="24"/>
        </w:rPr>
        <w:t>Handelsog</w:t>
      </w:r>
      <w:r w:rsidRPr="00695693">
        <w:rPr>
          <w:rFonts w:ascii="Times New Roman" w:hAnsi="Times New Roman" w:cs="Times New Roman"/>
          <w:sz w:val="24"/>
          <w:szCs w:val="24"/>
        </w:rPr>
        <w:t>, Aff. 109/88 ;</w:t>
      </w:r>
    </w:p>
    <w:p w:rsidR="00A31B82" w:rsidRDefault="00A31B82"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C.J.C.E., </w:t>
      </w:r>
      <w:r w:rsidR="004632E5">
        <w:rPr>
          <w:rFonts w:ascii="Times New Roman" w:hAnsi="Times New Roman" w:cs="Times New Roman"/>
          <w:sz w:val="24"/>
          <w:szCs w:val="24"/>
        </w:rPr>
        <w:t>Arrêt</w:t>
      </w:r>
      <w:r>
        <w:rPr>
          <w:rFonts w:ascii="Times New Roman" w:hAnsi="Times New Roman" w:cs="Times New Roman"/>
          <w:sz w:val="24"/>
          <w:szCs w:val="24"/>
        </w:rPr>
        <w:t xml:space="preserve"> du 17 Mai 1990, </w:t>
      </w:r>
      <w:r w:rsidRPr="004632E5">
        <w:rPr>
          <w:rFonts w:ascii="Times New Roman" w:hAnsi="Times New Roman" w:cs="Times New Roman"/>
          <w:i/>
          <w:sz w:val="24"/>
          <w:szCs w:val="24"/>
        </w:rPr>
        <w:t>Barber</w:t>
      </w:r>
      <w:r>
        <w:rPr>
          <w:rFonts w:ascii="Times New Roman" w:hAnsi="Times New Roman" w:cs="Times New Roman"/>
          <w:sz w:val="24"/>
          <w:szCs w:val="24"/>
        </w:rPr>
        <w:t>, Aff.</w:t>
      </w:r>
      <w:r w:rsidR="004632E5">
        <w:rPr>
          <w:rFonts w:ascii="Times New Roman" w:hAnsi="Times New Roman" w:cs="Times New Roman"/>
          <w:sz w:val="24"/>
          <w:szCs w:val="24"/>
        </w:rPr>
        <w:t xml:space="preserve"> C-262/88 ;</w:t>
      </w:r>
    </w:p>
    <w:p w:rsidR="002B06FC" w:rsidRPr="00695693" w:rsidRDefault="002B06FC"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C.J.C.E., Arrêt du 10 Juillet 1990, </w:t>
      </w:r>
      <w:r w:rsidRPr="002B06FC">
        <w:rPr>
          <w:rFonts w:ascii="Times New Roman" w:hAnsi="Times New Roman" w:cs="Times New Roman"/>
          <w:i/>
          <w:sz w:val="24"/>
          <w:szCs w:val="24"/>
        </w:rPr>
        <w:t>Tétra Pak c/ Commission</w:t>
      </w:r>
      <w:r>
        <w:rPr>
          <w:rFonts w:ascii="Times New Roman" w:hAnsi="Times New Roman" w:cs="Times New Roman"/>
          <w:sz w:val="24"/>
          <w:szCs w:val="24"/>
        </w:rPr>
        <w:t>, Aff. 51/89 ;</w:t>
      </w:r>
    </w:p>
    <w:p w:rsidR="00694424" w:rsidRPr="00695693"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C.J.C.E., Arrêt du 16 Juillet 1992, </w:t>
      </w:r>
      <w:r w:rsidRPr="00695693">
        <w:rPr>
          <w:rFonts w:ascii="Times New Roman" w:hAnsi="Times New Roman" w:cs="Times New Roman"/>
          <w:i/>
          <w:sz w:val="24"/>
          <w:szCs w:val="24"/>
        </w:rPr>
        <w:t>Laurenco Dias</w:t>
      </w:r>
      <w:r w:rsidRPr="00695693">
        <w:rPr>
          <w:rFonts w:ascii="Times New Roman" w:hAnsi="Times New Roman" w:cs="Times New Roman"/>
          <w:sz w:val="24"/>
          <w:szCs w:val="24"/>
        </w:rPr>
        <w:t>, Aff. C-343/90 ;</w:t>
      </w:r>
    </w:p>
    <w:p w:rsidR="00694424" w:rsidRPr="00695693"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C.J.C.E., Arrêt du 16 Décembre 1992, </w:t>
      </w:r>
      <w:r w:rsidRPr="00695693">
        <w:rPr>
          <w:rFonts w:ascii="Times New Roman" w:hAnsi="Times New Roman" w:cs="Times New Roman"/>
          <w:i/>
          <w:sz w:val="24"/>
          <w:szCs w:val="24"/>
        </w:rPr>
        <w:t>Anders</w:t>
      </w:r>
      <w:r w:rsidRPr="00695693">
        <w:rPr>
          <w:rFonts w:ascii="Times New Roman" w:hAnsi="Times New Roman" w:cs="Times New Roman"/>
          <w:sz w:val="24"/>
          <w:szCs w:val="24"/>
        </w:rPr>
        <w:t>, Aff. C-306/88 ;</w:t>
      </w:r>
    </w:p>
    <w:p w:rsidR="00694424" w:rsidRPr="00695693"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C.J.C.E., Arrêt du 26 Janvier 1993, </w:t>
      </w:r>
      <w:r w:rsidRPr="00695693">
        <w:rPr>
          <w:rFonts w:ascii="Times New Roman" w:hAnsi="Times New Roman" w:cs="Times New Roman"/>
          <w:i/>
          <w:sz w:val="24"/>
          <w:szCs w:val="24"/>
        </w:rPr>
        <w:t>Telemarsicabruzzo</w:t>
      </w:r>
      <w:r w:rsidRPr="00695693">
        <w:rPr>
          <w:rFonts w:ascii="Times New Roman" w:hAnsi="Times New Roman" w:cs="Times New Roman"/>
          <w:sz w:val="24"/>
          <w:szCs w:val="24"/>
        </w:rPr>
        <w:t> ;</w:t>
      </w:r>
    </w:p>
    <w:p w:rsidR="00694424" w:rsidRPr="00695693"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C.J.C.E., Arrêt du 30 Mars 1993, </w:t>
      </w:r>
      <w:r w:rsidRPr="00695693">
        <w:rPr>
          <w:rFonts w:ascii="Times New Roman" w:hAnsi="Times New Roman" w:cs="Times New Roman"/>
          <w:i/>
          <w:sz w:val="24"/>
          <w:szCs w:val="24"/>
        </w:rPr>
        <w:t>Corbiau c/Administration des contributions</w:t>
      </w:r>
      <w:r w:rsidRPr="00695693">
        <w:rPr>
          <w:rFonts w:ascii="Times New Roman" w:hAnsi="Times New Roman" w:cs="Times New Roman"/>
          <w:sz w:val="24"/>
          <w:szCs w:val="24"/>
        </w:rPr>
        <w:t>, Aff. C- 24/92 ;</w:t>
      </w:r>
    </w:p>
    <w:p w:rsidR="00694424" w:rsidRPr="00695693"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C.J.C.E., Ord., du 09 Août 1994, </w:t>
      </w:r>
      <w:r w:rsidRPr="00695693">
        <w:rPr>
          <w:rFonts w:ascii="Times New Roman" w:hAnsi="Times New Roman" w:cs="Times New Roman"/>
          <w:i/>
          <w:sz w:val="24"/>
          <w:szCs w:val="24"/>
        </w:rPr>
        <w:t>La Pyramide SARL</w:t>
      </w:r>
      <w:r w:rsidRPr="00695693">
        <w:rPr>
          <w:rFonts w:ascii="Times New Roman" w:hAnsi="Times New Roman" w:cs="Times New Roman"/>
          <w:sz w:val="24"/>
          <w:szCs w:val="24"/>
        </w:rPr>
        <w:t> ;</w:t>
      </w:r>
    </w:p>
    <w:p w:rsidR="00694424" w:rsidRPr="00695693"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C.J.C.E., Ord., du 09 Février 1995, </w:t>
      </w:r>
      <w:r w:rsidRPr="00695693">
        <w:rPr>
          <w:rFonts w:ascii="Times New Roman" w:hAnsi="Times New Roman" w:cs="Times New Roman"/>
          <w:i/>
          <w:sz w:val="24"/>
          <w:szCs w:val="24"/>
        </w:rPr>
        <w:t>Société d’importation Edouard Leclerc</w:t>
      </w:r>
      <w:r w:rsidRPr="00695693">
        <w:rPr>
          <w:rFonts w:ascii="Times New Roman" w:hAnsi="Times New Roman" w:cs="Times New Roman"/>
          <w:sz w:val="24"/>
          <w:szCs w:val="24"/>
        </w:rPr>
        <w:t> ;</w:t>
      </w:r>
    </w:p>
    <w:p w:rsidR="00694424" w:rsidRPr="00695693"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C.J.C.E., Ord., du 07 Avril 1995, </w:t>
      </w:r>
      <w:r w:rsidRPr="00695693">
        <w:rPr>
          <w:rFonts w:ascii="Times New Roman" w:hAnsi="Times New Roman" w:cs="Times New Roman"/>
          <w:i/>
          <w:sz w:val="24"/>
          <w:szCs w:val="24"/>
        </w:rPr>
        <w:t>Grau Gomis</w:t>
      </w:r>
      <w:r w:rsidRPr="00695693">
        <w:rPr>
          <w:rFonts w:ascii="Times New Roman" w:hAnsi="Times New Roman" w:cs="Times New Roman"/>
          <w:sz w:val="24"/>
          <w:szCs w:val="24"/>
        </w:rPr>
        <w:t>, Aff. 176/94 ;</w:t>
      </w:r>
    </w:p>
    <w:p w:rsidR="00694424" w:rsidRPr="00695693"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C.J.C.E., Arrêt du 17 Septembre 1997, </w:t>
      </w:r>
      <w:r w:rsidRPr="00695693">
        <w:rPr>
          <w:rFonts w:ascii="Times New Roman" w:hAnsi="Times New Roman" w:cs="Times New Roman"/>
          <w:i/>
          <w:sz w:val="24"/>
          <w:szCs w:val="24"/>
        </w:rPr>
        <w:t>DorschConsultIngenieurgesellschaft</w:t>
      </w:r>
      <w:r w:rsidRPr="00695693">
        <w:rPr>
          <w:rFonts w:ascii="Times New Roman" w:hAnsi="Times New Roman" w:cs="Times New Roman"/>
          <w:sz w:val="24"/>
          <w:szCs w:val="24"/>
        </w:rPr>
        <w:t>, Aff. C- 54/96 ;</w:t>
      </w:r>
    </w:p>
    <w:p w:rsidR="00694424"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C.J.C.E., Arrêt du 17 Juillet 1997, </w:t>
      </w:r>
      <w:r w:rsidRPr="00695693">
        <w:rPr>
          <w:rFonts w:ascii="Times New Roman" w:hAnsi="Times New Roman" w:cs="Times New Roman"/>
          <w:i/>
          <w:sz w:val="24"/>
          <w:szCs w:val="24"/>
        </w:rPr>
        <w:t>Kruger c/</w:t>
      </w:r>
      <w:r w:rsidR="00E3351E" w:rsidRPr="00695693">
        <w:rPr>
          <w:rFonts w:ascii="Times New Roman" w:hAnsi="Times New Roman" w:cs="Times New Roman"/>
          <w:i/>
          <w:sz w:val="24"/>
          <w:szCs w:val="24"/>
        </w:rPr>
        <w:t>Hauptzollamt</w:t>
      </w:r>
      <w:r w:rsidR="00B818A2" w:rsidRPr="00695693">
        <w:rPr>
          <w:rFonts w:ascii="Times New Roman" w:hAnsi="Times New Roman" w:cs="Times New Roman"/>
          <w:sz w:val="24"/>
          <w:szCs w:val="24"/>
        </w:rPr>
        <w:t>, Aff. C-334/95</w:t>
      </w:r>
      <w:r w:rsidRPr="00695693">
        <w:rPr>
          <w:rFonts w:ascii="Times New Roman" w:hAnsi="Times New Roman" w:cs="Times New Roman"/>
          <w:sz w:val="24"/>
          <w:szCs w:val="24"/>
        </w:rPr>
        <w:t>;</w:t>
      </w:r>
    </w:p>
    <w:p w:rsidR="00810420" w:rsidRPr="00695693" w:rsidRDefault="00810420"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C.J.C.E., Arrêt du 17 Juillet 1997, </w:t>
      </w:r>
      <w:r w:rsidRPr="00810420">
        <w:rPr>
          <w:rFonts w:ascii="Times New Roman" w:hAnsi="Times New Roman" w:cs="Times New Roman"/>
          <w:i/>
          <w:sz w:val="24"/>
          <w:szCs w:val="24"/>
        </w:rPr>
        <w:t>Leur-Bloem</w:t>
      </w:r>
      <w:r>
        <w:rPr>
          <w:rFonts w:ascii="Times New Roman" w:hAnsi="Times New Roman" w:cs="Times New Roman"/>
          <w:sz w:val="24"/>
          <w:szCs w:val="24"/>
        </w:rPr>
        <w:t>, Aff. C-28/95 ;</w:t>
      </w:r>
    </w:p>
    <w:p w:rsidR="00694424"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C.J.C.E., Arrêt du 02 Mars 1999, </w:t>
      </w:r>
      <w:r w:rsidRPr="00695693">
        <w:rPr>
          <w:rFonts w:ascii="Times New Roman" w:hAnsi="Times New Roman" w:cs="Times New Roman"/>
          <w:i/>
          <w:sz w:val="24"/>
          <w:szCs w:val="24"/>
        </w:rPr>
        <w:t>Eddine Le- Yassini</w:t>
      </w:r>
      <w:r w:rsidRPr="00695693">
        <w:rPr>
          <w:rFonts w:ascii="Times New Roman" w:hAnsi="Times New Roman" w:cs="Times New Roman"/>
          <w:sz w:val="24"/>
          <w:szCs w:val="24"/>
        </w:rPr>
        <w:t>, Aff. C- 416/96 ;</w:t>
      </w:r>
    </w:p>
    <w:p w:rsidR="009A11A4" w:rsidRDefault="009A11A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C.J.C.E., </w:t>
      </w:r>
      <w:r w:rsidR="00892415">
        <w:rPr>
          <w:rFonts w:ascii="Times New Roman" w:hAnsi="Times New Roman" w:cs="Times New Roman"/>
          <w:sz w:val="24"/>
          <w:szCs w:val="24"/>
        </w:rPr>
        <w:t>Arrêt</w:t>
      </w:r>
      <w:r>
        <w:rPr>
          <w:rFonts w:ascii="Times New Roman" w:hAnsi="Times New Roman" w:cs="Times New Roman"/>
          <w:sz w:val="24"/>
          <w:szCs w:val="24"/>
        </w:rPr>
        <w:t xml:space="preserve"> du 14 Juin 2001, </w:t>
      </w:r>
      <w:r w:rsidRPr="00892415">
        <w:rPr>
          <w:rFonts w:ascii="Times New Roman" w:hAnsi="Times New Roman" w:cs="Times New Roman"/>
          <w:i/>
          <w:sz w:val="24"/>
          <w:szCs w:val="24"/>
        </w:rPr>
        <w:t>Salzmann</w:t>
      </w:r>
      <w:r>
        <w:rPr>
          <w:rFonts w:ascii="Times New Roman" w:hAnsi="Times New Roman" w:cs="Times New Roman"/>
          <w:sz w:val="24"/>
          <w:szCs w:val="24"/>
        </w:rPr>
        <w:t>, Aff. C-</w:t>
      </w:r>
      <w:r w:rsidR="00892415">
        <w:rPr>
          <w:rFonts w:ascii="Times New Roman" w:hAnsi="Times New Roman" w:cs="Times New Roman"/>
          <w:sz w:val="24"/>
          <w:szCs w:val="24"/>
        </w:rPr>
        <w:t>178/99 ;</w:t>
      </w:r>
    </w:p>
    <w:p w:rsidR="00B70B57" w:rsidRPr="00695693" w:rsidRDefault="00B70B57"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C.J.C.E., Arrêt du 08 Novembre 2001, </w:t>
      </w:r>
      <w:r w:rsidRPr="00B70B57">
        <w:rPr>
          <w:rFonts w:ascii="Times New Roman" w:hAnsi="Times New Roman" w:cs="Times New Roman"/>
          <w:i/>
          <w:sz w:val="24"/>
          <w:szCs w:val="24"/>
        </w:rPr>
        <w:t>Adria-wien Pipeline</w:t>
      </w:r>
      <w:r>
        <w:rPr>
          <w:rFonts w:ascii="Times New Roman" w:hAnsi="Times New Roman" w:cs="Times New Roman"/>
          <w:sz w:val="24"/>
          <w:szCs w:val="24"/>
        </w:rPr>
        <w:t>, Aff. C-143/99 ;</w:t>
      </w:r>
    </w:p>
    <w:p w:rsidR="00694424" w:rsidRPr="00695693"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C.J.C.E., Arrêt du 15 Mai 2003, </w:t>
      </w:r>
      <w:r w:rsidRPr="00695693">
        <w:rPr>
          <w:rFonts w:ascii="Times New Roman" w:hAnsi="Times New Roman" w:cs="Times New Roman"/>
          <w:i/>
          <w:sz w:val="24"/>
          <w:szCs w:val="24"/>
        </w:rPr>
        <w:t>Mau</w:t>
      </w:r>
      <w:r w:rsidRPr="00695693">
        <w:rPr>
          <w:rFonts w:ascii="Times New Roman" w:hAnsi="Times New Roman" w:cs="Times New Roman"/>
          <w:sz w:val="24"/>
          <w:szCs w:val="24"/>
        </w:rPr>
        <w:t>, Aff. C-160/01 ;</w:t>
      </w:r>
    </w:p>
    <w:p w:rsidR="00694424"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C.J.C.E., Arrêt du 31 Mai 2005, </w:t>
      </w:r>
      <w:r w:rsidRPr="00695693">
        <w:rPr>
          <w:rFonts w:ascii="Times New Roman" w:hAnsi="Times New Roman" w:cs="Times New Roman"/>
          <w:i/>
          <w:sz w:val="24"/>
          <w:szCs w:val="24"/>
        </w:rPr>
        <w:t>Syfait EA</w:t>
      </w:r>
      <w:r w:rsidRPr="00695693">
        <w:rPr>
          <w:rFonts w:ascii="Times New Roman" w:hAnsi="Times New Roman" w:cs="Times New Roman"/>
          <w:sz w:val="24"/>
          <w:szCs w:val="24"/>
        </w:rPr>
        <w:t>, Aff. C- 53/03</w:t>
      </w:r>
      <w:r w:rsidR="00D77499" w:rsidRPr="00695693">
        <w:rPr>
          <w:rFonts w:ascii="Times New Roman" w:hAnsi="Times New Roman" w:cs="Times New Roman"/>
          <w:sz w:val="24"/>
          <w:szCs w:val="24"/>
        </w:rPr>
        <w:t> ;</w:t>
      </w:r>
    </w:p>
    <w:p w:rsidR="00B70B57" w:rsidRDefault="00B70B57"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C.J.C.E., Arrêt du 09 Octobre 2008, </w:t>
      </w:r>
      <w:r w:rsidRPr="00B70B57">
        <w:rPr>
          <w:rFonts w:ascii="Times New Roman" w:hAnsi="Times New Roman" w:cs="Times New Roman"/>
          <w:i/>
          <w:sz w:val="24"/>
          <w:szCs w:val="24"/>
        </w:rPr>
        <w:t>Julius Sabatouskas</w:t>
      </w:r>
      <w:r>
        <w:rPr>
          <w:rFonts w:ascii="Times New Roman" w:hAnsi="Times New Roman" w:cs="Times New Roman"/>
          <w:sz w:val="24"/>
          <w:szCs w:val="24"/>
        </w:rPr>
        <w:t>, Aff. C-239/07 ;</w:t>
      </w:r>
    </w:p>
    <w:p w:rsidR="00893CC5" w:rsidRDefault="00893CC5"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Pr>
          <w:rFonts w:ascii="Times New Roman" w:hAnsi="Times New Roman" w:cs="Times New Roman"/>
          <w:sz w:val="24"/>
          <w:szCs w:val="24"/>
        </w:rPr>
        <w:t>C.J.C.E., Arrêt du 1</w:t>
      </w:r>
      <w:r w:rsidRPr="00893CC5">
        <w:rPr>
          <w:rFonts w:ascii="Times New Roman" w:hAnsi="Times New Roman" w:cs="Times New Roman"/>
          <w:sz w:val="24"/>
          <w:szCs w:val="24"/>
          <w:vertAlign w:val="superscript"/>
        </w:rPr>
        <w:t>er</w:t>
      </w:r>
      <w:r>
        <w:rPr>
          <w:rFonts w:ascii="Times New Roman" w:hAnsi="Times New Roman" w:cs="Times New Roman"/>
          <w:sz w:val="24"/>
          <w:szCs w:val="24"/>
        </w:rPr>
        <w:t xml:space="preserve"> Mars 2011, </w:t>
      </w:r>
      <w:r w:rsidRPr="00893CC5">
        <w:rPr>
          <w:rFonts w:ascii="Times New Roman" w:hAnsi="Times New Roman" w:cs="Times New Roman"/>
          <w:i/>
          <w:sz w:val="24"/>
          <w:szCs w:val="24"/>
        </w:rPr>
        <w:t>Association belge des consommateurs</w:t>
      </w:r>
      <w:r>
        <w:rPr>
          <w:rFonts w:ascii="Times New Roman" w:hAnsi="Times New Roman" w:cs="Times New Roman"/>
          <w:sz w:val="24"/>
          <w:szCs w:val="24"/>
        </w:rPr>
        <w:t>, Aff. 236/09 ;</w:t>
      </w:r>
    </w:p>
    <w:p w:rsidR="00893CC5" w:rsidRPr="00695693" w:rsidRDefault="00893CC5"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C.J.U.E., Arrêt du 30 Mai 2013, </w:t>
      </w:r>
      <w:r w:rsidRPr="00893CC5">
        <w:rPr>
          <w:rFonts w:ascii="Times New Roman" w:hAnsi="Times New Roman" w:cs="Times New Roman"/>
          <w:i/>
          <w:sz w:val="24"/>
          <w:szCs w:val="24"/>
        </w:rPr>
        <w:t>Jeremy</w:t>
      </w:r>
      <w:r>
        <w:rPr>
          <w:rFonts w:ascii="Times New Roman" w:hAnsi="Times New Roman" w:cs="Times New Roman"/>
          <w:sz w:val="24"/>
          <w:szCs w:val="24"/>
        </w:rPr>
        <w:t>, Aff. C-168/13 ;</w:t>
      </w:r>
    </w:p>
    <w:p w:rsidR="00723F2C" w:rsidRDefault="00723F2C" w:rsidP="00651A8C">
      <w:pPr>
        <w:tabs>
          <w:tab w:val="center" w:pos="4536"/>
        </w:tabs>
        <w:spacing w:line="360" w:lineRule="auto"/>
        <w:jc w:val="both"/>
        <w:rPr>
          <w:rFonts w:ascii="Times New Roman" w:hAnsi="Times New Roman" w:cs="Times New Roman"/>
          <w:b/>
          <w:sz w:val="24"/>
          <w:szCs w:val="24"/>
        </w:rPr>
      </w:pPr>
    </w:p>
    <w:p w:rsidR="00694424" w:rsidRPr="00695693" w:rsidRDefault="00561CE1" w:rsidP="00651A8C">
      <w:pPr>
        <w:tabs>
          <w:tab w:val="center" w:pos="4536"/>
        </w:tabs>
        <w:spacing w:line="360" w:lineRule="auto"/>
        <w:jc w:val="both"/>
        <w:rPr>
          <w:rFonts w:ascii="Times New Roman" w:hAnsi="Times New Roman" w:cs="Times New Roman"/>
          <w:b/>
          <w:sz w:val="24"/>
          <w:szCs w:val="24"/>
        </w:rPr>
      </w:pPr>
      <w:r w:rsidRPr="00695693">
        <w:rPr>
          <w:rFonts w:ascii="Times New Roman" w:hAnsi="Times New Roman" w:cs="Times New Roman"/>
          <w:b/>
          <w:sz w:val="24"/>
          <w:szCs w:val="24"/>
        </w:rPr>
        <w:lastRenderedPageBreak/>
        <w:t xml:space="preserve">C. </w:t>
      </w:r>
      <w:r w:rsidR="001375DF" w:rsidRPr="00695693">
        <w:rPr>
          <w:rFonts w:ascii="Times New Roman" w:hAnsi="Times New Roman" w:cs="Times New Roman"/>
          <w:b/>
          <w:sz w:val="24"/>
          <w:szCs w:val="24"/>
        </w:rPr>
        <w:t xml:space="preserve">les autres jurisprudences </w:t>
      </w:r>
    </w:p>
    <w:p w:rsidR="00351436" w:rsidRPr="00695693" w:rsidRDefault="00351436" w:rsidP="00695693">
      <w:pPr>
        <w:pStyle w:val="Paragraphedeliste"/>
        <w:numPr>
          <w:ilvl w:val="0"/>
          <w:numId w:val="39"/>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C.E., Arrêt du 19 Janvier 1964, </w:t>
      </w:r>
      <w:r w:rsidRPr="00695693">
        <w:rPr>
          <w:rFonts w:ascii="Times New Roman" w:hAnsi="Times New Roman" w:cs="Times New Roman"/>
          <w:i/>
          <w:sz w:val="24"/>
          <w:szCs w:val="24"/>
        </w:rPr>
        <w:t>Société des pétroles Schelle-Berre et autres</w:t>
      </w:r>
      <w:r w:rsidRPr="00695693">
        <w:rPr>
          <w:rFonts w:ascii="Times New Roman" w:hAnsi="Times New Roman" w:cs="Times New Roman"/>
          <w:sz w:val="24"/>
          <w:szCs w:val="24"/>
        </w:rPr>
        <w:t>, Recueil Lebon ;</w:t>
      </w:r>
    </w:p>
    <w:p w:rsidR="00351436" w:rsidRPr="00695693" w:rsidRDefault="00351436" w:rsidP="00695693">
      <w:pPr>
        <w:pStyle w:val="Paragraphedeliste"/>
        <w:numPr>
          <w:ilvl w:val="0"/>
          <w:numId w:val="39"/>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C.E., Sect</w:t>
      </w:r>
      <w:r w:rsidR="00DB75ED" w:rsidRPr="00695693">
        <w:rPr>
          <w:rFonts w:ascii="Times New Roman" w:hAnsi="Times New Roman" w:cs="Times New Roman"/>
          <w:sz w:val="24"/>
          <w:szCs w:val="24"/>
        </w:rPr>
        <w:t>., Arrêt du 10 Fé</w:t>
      </w:r>
      <w:r w:rsidRPr="00695693">
        <w:rPr>
          <w:rFonts w:ascii="Times New Roman" w:hAnsi="Times New Roman" w:cs="Times New Roman"/>
          <w:sz w:val="24"/>
          <w:szCs w:val="24"/>
        </w:rPr>
        <w:t xml:space="preserve">vrier 1967, </w:t>
      </w:r>
      <w:r w:rsidRPr="00695693">
        <w:rPr>
          <w:rFonts w:ascii="Times New Roman" w:hAnsi="Times New Roman" w:cs="Times New Roman"/>
          <w:i/>
          <w:sz w:val="24"/>
          <w:szCs w:val="24"/>
        </w:rPr>
        <w:t>Société des Etablissements pétijean et autres</w:t>
      </w:r>
      <w:r w:rsidRPr="00695693">
        <w:rPr>
          <w:rFonts w:ascii="Times New Roman" w:hAnsi="Times New Roman" w:cs="Times New Roman"/>
          <w:sz w:val="24"/>
          <w:szCs w:val="24"/>
        </w:rPr>
        <w:t>, Recueil Lebon ;</w:t>
      </w:r>
    </w:p>
    <w:p w:rsidR="00DB75ED" w:rsidRPr="00695693" w:rsidRDefault="00DB75ED" w:rsidP="00695693">
      <w:pPr>
        <w:pStyle w:val="Paragraphedeliste"/>
        <w:numPr>
          <w:ilvl w:val="0"/>
          <w:numId w:val="39"/>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C.I.J., Avis consultatif du 8 Juillet 1996, </w:t>
      </w:r>
      <w:r w:rsidRPr="00695693">
        <w:rPr>
          <w:rFonts w:ascii="Times New Roman" w:hAnsi="Times New Roman" w:cs="Times New Roman"/>
          <w:i/>
          <w:sz w:val="24"/>
          <w:szCs w:val="24"/>
        </w:rPr>
        <w:t>Licéité de l’emploi ou de la menace de l’arme nucléaire</w:t>
      </w:r>
      <w:r w:rsidRPr="00695693">
        <w:rPr>
          <w:rFonts w:ascii="Times New Roman" w:hAnsi="Times New Roman" w:cs="Times New Roman"/>
          <w:sz w:val="24"/>
          <w:szCs w:val="24"/>
        </w:rPr>
        <w:t> ;</w:t>
      </w:r>
    </w:p>
    <w:p w:rsidR="00DB75ED" w:rsidRPr="00695693" w:rsidRDefault="0077613A" w:rsidP="00695693">
      <w:pPr>
        <w:pStyle w:val="Paragraphedeliste"/>
        <w:numPr>
          <w:ilvl w:val="0"/>
          <w:numId w:val="39"/>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C.J. /C.E.D.E.A.O., </w:t>
      </w:r>
      <w:r w:rsidR="00DB75ED" w:rsidRPr="00695693">
        <w:rPr>
          <w:rFonts w:ascii="Times New Roman" w:hAnsi="Times New Roman" w:cs="Times New Roman"/>
          <w:sz w:val="24"/>
          <w:szCs w:val="24"/>
        </w:rPr>
        <w:t xml:space="preserve">Arrêt du 27 Octobre 2008, </w:t>
      </w:r>
      <w:r w:rsidR="00DB75ED" w:rsidRPr="00695693">
        <w:rPr>
          <w:rFonts w:ascii="Times New Roman" w:hAnsi="Times New Roman" w:cs="Times New Roman"/>
          <w:i/>
          <w:sz w:val="24"/>
          <w:szCs w:val="24"/>
        </w:rPr>
        <w:t>Dame Hadijatou Mani Koraou c</w:t>
      </w:r>
      <w:r w:rsidR="00C724D2" w:rsidRPr="00695693">
        <w:rPr>
          <w:rFonts w:ascii="Times New Roman" w:hAnsi="Times New Roman" w:cs="Times New Roman"/>
          <w:i/>
          <w:sz w:val="24"/>
          <w:szCs w:val="24"/>
        </w:rPr>
        <w:t>. /</w:t>
      </w:r>
      <w:r w:rsidR="00DB75ED" w:rsidRPr="00695693">
        <w:rPr>
          <w:rFonts w:ascii="Times New Roman" w:hAnsi="Times New Roman" w:cs="Times New Roman"/>
          <w:i/>
          <w:sz w:val="24"/>
          <w:szCs w:val="24"/>
        </w:rPr>
        <w:t xml:space="preserve"> République du Niger</w:t>
      </w:r>
      <w:r w:rsidR="00DB75ED" w:rsidRPr="00695693">
        <w:rPr>
          <w:rFonts w:ascii="Times New Roman" w:hAnsi="Times New Roman" w:cs="Times New Roman"/>
          <w:sz w:val="24"/>
          <w:szCs w:val="24"/>
        </w:rPr>
        <w:t xml:space="preserve">, </w:t>
      </w:r>
      <w:r w:rsidRPr="00695693">
        <w:rPr>
          <w:rFonts w:ascii="Times New Roman" w:hAnsi="Times New Roman" w:cs="Times New Roman"/>
          <w:sz w:val="24"/>
          <w:szCs w:val="24"/>
        </w:rPr>
        <w:t xml:space="preserve">Aff. 06/08, </w:t>
      </w:r>
      <w:r w:rsidR="00DB75ED" w:rsidRPr="00695693">
        <w:rPr>
          <w:rFonts w:ascii="Times New Roman" w:hAnsi="Times New Roman" w:cs="Times New Roman"/>
          <w:sz w:val="24"/>
          <w:szCs w:val="24"/>
        </w:rPr>
        <w:t>Point 40.</w:t>
      </w:r>
    </w:p>
    <w:p w:rsidR="00694424" w:rsidRPr="00695693" w:rsidRDefault="00CC6679" w:rsidP="00695693">
      <w:pPr>
        <w:tabs>
          <w:tab w:val="center" w:pos="4536"/>
        </w:tabs>
        <w:spacing w:line="360" w:lineRule="auto"/>
        <w:jc w:val="both"/>
        <w:rPr>
          <w:rFonts w:ascii="Times New Roman" w:hAnsi="Times New Roman" w:cs="Times New Roman"/>
          <w:b/>
          <w:sz w:val="24"/>
          <w:szCs w:val="24"/>
        </w:rPr>
      </w:pPr>
      <w:r w:rsidRPr="00695693">
        <w:rPr>
          <w:rFonts w:ascii="Times New Roman" w:hAnsi="Times New Roman" w:cs="Times New Roman"/>
          <w:b/>
          <w:sz w:val="24"/>
          <w:szCs w:val="24"/>
        </w:rPr>
        <w:t xml:space="preserve">     III. LEGISLATIONS</w:t>
      </w:r>
    </w:p>
    <w:p w:rsidR="00694424" w:rsidRPr="00695693" w:rsidRDefault="00694424" w:rsidP="00695693">
      <w:pPr>
        <w:tabs>
          <w:tab w:val="center" w:pos="4536"/>
        </w:tabs>
        <w:spacing w:line="360" w:lineRule="auto"/>
        <w:jc w:val="both"/>
        <w:rPr>
          <w:rFonts w:ascii="Times New Roman" w:hAnsi="Times New Roman" w:cs="Times New Roman"/>
          <w:b/>
          <w:sz w:val="24"/>
          <w:szCs w:val="24"/>
        </w:rPr>
      </w:pPr>
      <w:r w:rsidRPr="00695693">
        <w:rPr>
          <w:rFonts w:ascii="Times New Roman" w:hAnsi="Times New Roman" w:cs="Times New Roman"/>
          <w:b/>
          <w:sz w:val="24"/>
          <w:szCs w:val="24"/>
        </w:rPr>
        <w:t>A. Les textes nationaux</w:t>
      </w:r>
    </w:p>
    <w:p w:rsidR="00EE5C52"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EE5C52">
        <w:rPr>
          <w:rFonts w:ascii="Times New Roman" w:hAnsi="Times New Roman" w:cs="Times New Roman"/>
          <w:sz w:val="24"/>
          <w:szCs w:val="24"/>
        </w:rPr>
        <w:t xml:space="preserve">La </w:t>
      </w:r>
      <w:r w:rsidR="00EE5C52" w:rsidRPr="00EE5C52">
        <w:rPr>
          <w:rFonts w:ascii="Times New Roman" w:hAnsi="Times New Roman" w:cs="Times New Roman"/>
          <w:sz w:val="24"/>
          <w:szCs w:val="24"/>
        </w:rPr>
        <w:t xml:space="preserve">Constitution Burkinabè de la IVème République du 02 Juin 1991 ; </w:t>
      </w:r>
    </w:p>
    <w:p w:rsidR="00694424" w:rsidRPr="00EE5C52"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EE5C52">
        <w:rPr>
          <w:rFonts w:ascii="Times New Roman" w:hAnsi="Times New Roman" w:cs="Times New Roman"/>
          <w:sz w:val="24"/>
          <w:szCs w:val="24"/>
        </w:rPr>
        <w:t>La Constitution nigérienne de la VIIème République du 25 Novembre 2010 ;</w:t>
      </w:r>
    </w:p>
    <w:p w:rsidR="00694424" w:rsidRPr="00695693" w:rsidRDefault="00694424" w:rsidP="00695693">
      <w:pPr>
        <w:pStyle w:val="Paragraphedeliste"/>
        <w:numPr>
          <w:ilvl w:val="0"/>
          <w:numId w:val="34"/>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La Constitution Béninoise du 11 Décembre 1990 ;</w:t>
      </w:r>
    </w:p>
    <w:p w:rsidR="00694424" w:rsidRPr="00695693" w:rsidRDefault="00694424" w:rsidP="00695693">
      <w:pPr>
        <w:tabs>
          <w:tab w:val="center" w:pos="4536"/>
        </w:tabs>
        <w:spacing w:line="360" w:lineRule="auto"/>
        <w:jc w:val="both"/>
        <w:rPr>
          <w:rFonts w:ascii="Times New Roman" w:hAnsi="Times New Roman" w:cs="Times New Roman"/>
          <w:b/>
          <w:sz w:val="24"/>
          <w:szCs w:val="24"/>
        </w:rPr>
      </w:pPr>
      <w:r w:rsidRPr="00695693">
        <w:rPr>
          <w:rFonts w:ascii="Times New Roman" w:hAnsi="Times New Roman" w:cs="Times New Roman"/>
          <w:b/>
          <w:sz w:val="24"/>
          <w:szCs w:val="24"/>
        </w:rPr>
        <w:t>B. Les textes communautaires</w:t>
      </w:r>
    </w:p>
    <w:p w:rsidR="00694424" w:rsidRPr="00695693" w:rsidRDefault="00694424" w:rsidP="00695693">
      <w:p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1. Textes CEDEAO</w:t>
      </w:r>
    </w:p>
    <w:p w:rsidR="00694424" w:rsidRPr="00695693" w:rsidRDefault="00694424" w:rsidP="00695693">
      <w:pPr>
        <w:pStyle w:val="Paragraphedeliste"/>
        <w:numPr>
          <w:ilvl w:val="0"/>
          <w:numId w:val="35"/>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Le Traité constitutif de la CEDEAO du 28 Mai 1975, Nations-Unies, recueil des Traités, Vol. 1010, I-14843, 1976 ;</w:t>
      </w:r>
    </w:p>
    <w:p w:rsidR="00694424" w:rsidRPr="00695693" w:rsidRDefault="00694424" w:rsidP="00695693">
      <w:pPr>
        <w:pStyle w:val="Paragraphedeliste"/>
        <w:numPr>
          <w:ilvl w:val="0"/>
          <w:numId w:val="35"/>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Le Protocole A/P1/5/79 Portant sur la libre circulation des personnes, le droit de résidence et d’établissement, signé à Dakar le 29 Mai 1979, disponible sur le site internet de la CEDEAO : </w:t>
      </w:r>
      <w:hyperlink r:id="rId29" w:history="1">
        <w:r w:rsidRPr="00695693">
          <w:rPr>
            <w:rStyle w:val="Lienhypertexte"/>
            <w:rFonts w:ascii="Times New Roman" w:hAnsi="Times New Roman" w:cs="Times New Roman"/>
            <w:sz w:val="24"/>
            <w:szCs w:val="24"/>
          </w:rPr>
          <w:t>http://www.ecowas.int</w:t>
        </w:r>
      </w:hyperlink>
      <w:r w:rsidRPr="00695693">
        <w:rPr>
          <w:rFonts w:ascii="Times New Roman" w:hAnsi="Times New Roman" w:cs="Times New Roman"/>
          <w:sz w:val="24"/>
          <w:szCs w:val="24"/>
        </w:rPr>
        <w:t> ;</w:t>
      </w:r>
    </w:p>
    <w:p w:rsidR="00694424" w:rsidRPr="00695693" w:rsidRDefault="00694424" w:rsidP="00695693">
      <w:pPr>
        <w:pStyle w:val="Paragraphedeliste"/>
        <w:numPr>
          <w:ilvl w:val="0"/>
          <w:numId w:val="35"/>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Le Protocole A/P/3/5/82 Portant code de la citoyenneté de la communauté, signé à Cotonou le 29 Mai 1982, disponible sur le site internet de la CEDEAO : </w:t>
      </w:r>
      <w:hyperlink r:id="rId30" w:history="1">
        <w:r w:rsidRPr="00695693">
          <w:rPr>
            <w:rStyle w:val="Lienhypertexte"/>
            <w:rFonts w:ascii="Times New Roman" w:hAnsi="Times New Roman" w:cs="Times New Roman"/>
            <w:sz w:val="24"/>
            <w:szCs w:val="24"/>
          </w:rPr>
          <w:t>http://www.ecowas.int</w:t>
        </w:r>
      </w:hyperlink>
      <w:r w:rsidRPr="00695693">
        <w:rPr>
          <w:rFonts w:ascii="Times New Roman" w:hAnsi="Times New Roman" w:cs="Times New Roman"/>
          <w:sz w:val="24"/>
          <w:szCs w:val="24"/>
        </w:rPr>
        <w:t> ;</w:t>
      </w:r>
    </w:p>
    <w:p w:rsidR="00694424" w:rsidRPr="00695693" w:rsidRDefault="00694424" w:rsidP="00695693">
      <w:pPr>
        <w:pStyle w:val="Paragraphedeliste"/>
        <w:numPr>
          <w:ilvl w:val="0"/>
          <w:numId w:val="35"/>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Le Protocole A/P.1/7/91 relatif à la Cour de Justice de la Communauté, signé à Abuja le 06 Juillet 1991, accessible sur le site internet de la CEDEAO : </w:t>
      </w:r>
      <w:hyperlink r:id="rId31" w:history="1">
        <w:r w:rsidRPr="00695693">
          <w:rPr>
            <w:rStyle w:val="Lienhypertexte"/>
            <w:rFonts w:ascii="Times New Roman" w:hAnsi="Times New Roman" w:cs="Times New Roman"/>
            <w:sz w:val="24"/>
            <w:szCs w:val="24"/>
          </w:rPr>
          <w:t>http://www.ecowas.int</w:t>
        </w:r>
      </w:hyperlink>
      <w:r w:rsidRPr="00695693">
        <w:rPr>
          <w:rFonts w:ascii="Times New Roman" w:hAnsi="Times New Roman" w:cs="Times New Roman"/>
          <w:sz w:val="24"/>
          <w:szCs w:val="24"/>
        </w:rPr>
        <w:t> ;</w:t>
      </w:r>
    </w:p>
    <w:p w:rsidR="00694424" w:rsidRPr="00695693" w:rsidRDefault="00694424" w:rsidP="00695693">
      <w:pPr>
        <w:pStyle w:val="Paragraphedeliste"/>
        <w:numPr>
          <w:ilvl w:val="0"/>
          <w:numId w:val="35"/>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Le Traité révisé de la CEDEAO, signé à Cotonou le 24 Juillet 1993, J. O. N°25 de la CEDEAO ;</w:t>
      </w:r>
    </w:p>
    <w:p w:rsidR="00694424" w:rsidRPr="00695693" w:rsidRDefault="00694424" w:rsidP="00695693">
      <w:pPr>
        <w:pStyle w:val="Paragraphedeliste"/>
        <w:numPr>
          <w:ilvl w:val="0"/>
          <w:numId w:val="35"/>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lastRenderedPageBreak/>
        <w:t>Le Protocole A/SP1/12/01 sur la démocratie et la bonne gouvernance Additionnel au Protocole relatif au mécanisme de prévention, de gestion, de règlement des conflits, de maintien de la paix et de la sécurité, signé à Dakar le 21 Décembre 2001 ;</w:t>
      </w:r>
    </w:p>
    <w:p w:rsidR="00694424" w:rsidRPr="00695693" w:rsidRDefault="00694424" w:rsidP="00695693">
      <w:pPr>
        <w:pStyle w:val="Paragraphedeliste"/>
        <w:numPr>
          <w:ilvl w:val="0"/>
          <w:numId w:val="35"/>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Le Règlement de la Cour de Justice de la Communauté CEDEAO du 03 Juin 2002, disponible sur : </w:t>
      </w:r>
      <w:hyperlink r:id="rId32" w:history="1">
        <w:r w:rsidRPr="00695693">
          <w:rPr>
            <w:rStyle w:val="Lienhypertexte"/>
            <w:rFonts w:ascii="Times New Roman" w:hAnsi="Times New Roman" w:cs="Times New Roman"/>
            <w:sz w:val="24"/>
            <w:szCs w:val="24"/>
          </w:rPr>
          <w:t>http://www.caselaw.irdha.org</w:t>
        </w:r>
      </w:hyperlink>
      <w:r w:rsidRPr="00695693">
        <w:rPr>
          <w:rFonts w:ascii="Times New Roman" w:hAnsi="Times New Roman" w:cs="Times New Roman"/>
          <w:sz w:val="24"/>
          <w:szCs w:val="24"/>
        </w:rPr>
        <w:t> ;</w:t>
      </w:r>
    </w:p>
    <w:p w:rsidR="00694424" w:rsidRPr="00695693" w:rsidRDefault="00694424" w:rsidP="00695693">
      <w:pPr>
        <w:pStyle w:val="Paragraphedeliste"/>
        <w:numPr>
          <w:ilvl w:val="0"/>
          <w:numId w:val="35"/>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Le Protocole additionnel A/SP.1/01/05 Portant Amendement du Protocole A/P.1/7/91 relatif à la Cour de Justice de la Communauté, signé à Accra le 19 Janvier 2005, disponible sur le site internet de la CEDEAO : </w:t>
      </w:r>
      <w:hyperlink r:id="rId33" w:history="1">
        <w:r w:rsidRPr="00695693">
          <w:rPr>
            <w:rStyle w:val="Lienhypertexte"/>
            <w:rFonts w:ascii="Times New Roman" w:hAnsi="Times New Roman" w:cs="Times New Roman"/>
            <w:sz w:val="24"/>
            <w:szCs w:val="24"/>
          </w:rPr>
          <w:t>http://www.ecowas.int</w:t>
        </w:r>
      </w:hyperlink>
      <w:r w:rsidRPr="00695693">
        <w:rPr>
          <w:rFonts w:ascii="Times New Roman" w:hAnsi="Times New Roman" w:cs="Times New Roman"/>
          <w:sz w:val="24"/>
          <w:szCs w:val="24"/>
        </w:rPr>
        <w:t> ;</w:t>
      </w:r>
    </w:p>
    <w:p w:rsidR="00694424" w:rsidRPr="00695693" w:rsidRDefault="00694424" w:rsidP="00695693">
      <w:pPr>
        <w:pStyle w:val="Paragraphedeliste"/>
        <w:numPr>
          <w:ilvl w:val="0"/>
          <w:numId w:val="35"/>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Le Protocole additionnel A/SP.1/06/06 Portant Amendement du Traité révisé de la CEDEAO, signé à Abuja le 14 Juin 2006, disponible sur le site internet de la CEDEAO : </w:t>
      </w:r>
      <w:hyperlink r:id="rId34" w:history="1">
        <w:r w:rsidRPr="00695693">
          <w:rPr>
            <w:rStyle w:val="Lienhypertexte"/>
            <w:rFonts w:ascii="Times New Roman" w:hAnsi="Times New Roman" w:cs="Times New Roman"/>
            <w:sz w:val="24"/>
            <w:szCs w:val="24"/>
          </w:rPr>
          <w:t>http://www.ecowas.int</w:t>
        </w:r>
      </w:hyperlink>
      <w:r w:rsidRPr="00695693">
        <w:rPr>
          <w:rFonts w:ascii="Times New Roman" w:hAnsi="Times New Roman" w:cs="Times New Roman"/>
          <w:sz w:val="24"/>
          <w:szCs w:val="24"/>
        </w:rPr>
        <w:t> ;</w:t>
      </w:r>
    </w:p>
    <w:p w:rsidR="00694424" w:rsidRPr="00695693" w:rsidRDefault="00694424" w:rsidP="00695693">
      <w:pPr>
        <w:pStyle w:val="Paragraphedeliste"/>
        <w:numPr>
          <w:ilvl w:val="0"/>
          <w:numId w:val="35"/>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Acte Additionnel A/SA.1/06/08 Portant adoption des règles communautaires de la concurrence et de leurs modalités d’application au sein de la CEDEAO, signé à Abuja le 19 Décembre 2008, disponible sur le site internet de la CEDEAO : </w:t>
      </w:r>
      <w:hyperlink r:id="rId35" w:history="1">
        <w:r w:rsidRPr="00695693">
          <w:rPr>
            <w:rStyle w:val="Lienhypertexte"/>
            <w:rFonts w:ascii="Times New Roman" w:hAnsi="Times New Roman" w:cs="Times New Roman"/>
            <w:sz w:val="24"/>
            <w:szCs w:val="24"/>
          </w:rPr>
          <w:t>http://www.ecowas.int</w:t>
        </w:r>
      </w:hyperlink>
      <w:r w:rsidRPr="00695693">
        <w:rPr>
          <w:rFonts w:ascii="Times New Roman" w:hAnsi="Times New Roman" w:cs="Times New Roman"/>
          <w:sz w:val="24"/>
          <w:szCs w:val="24"/>
        </w:rPr>
        <w:t> ;</w:t>
      </w:r>
    </w:p>
    <w:p w:rsidR="00694424" w:rsidRPr="00695693" w:rsidRDefault="00694424" w:rsidP="00695693">
      <w:pPr>
        <w:pStyle w:val="Paragraphedeliste"/>
        <w:tabs>
          <w:tab w:val="center" w:pos="4536"/>
        </w:tabs>
        <w:spacing w:line="360" w:lineRule="auto"/>
        <w:jc w:val="both"/>
        <w:rPr>
          <w:rFonts w:ascii="Times New Roman" w:hAnsi="Times New Roman" w:cs="Times New Roman"/>
          <w:sz w:val="24"/>
          <w:szCs w:val="24"/>
        </w:rPr>
      </w:pPr>
    </w:p>
    <w:p w:rsidR="00694424" w:rsidRPr="00695693" w:rsidRDefault="00694424" w:rsidP="00695693">
      <w:pPr>
        <w:pStyle w:val="Paragraphedeliste"/>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2. Textes UEMOA</w:t>
      </w:r>
    </w:p>
    <w:p w:rsidR="00694424" w:rsidRPr="00695693" w:rsidRDefault="00694424" w:rsidP="00695693">
      <w:pPr>
        <w:pStyle w:val="Paragraphedeliste"/>
        <w:numPr>
          <w:ilvl w:val="0"/>
          <w:numId w:val="35"/>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Traité constitutif de l’UEMOA du 10 Janvier 1994, Bulletin officiel de l’UEMOA n°05, édition spéciale ;</w:t>
      </w:r>
    </w:p>
    <w:p w:rsidR="00694424" w:rsidRPr="00695693" w:rsidRDefault="00694424" w:rsidP="00695693">
      <w:pPr>
        <w:pStyle w:val="Paragraphedeliste"/>
        <w:numPr>
          <w:ilvl w:val="0"/>
          <w:numId w:val="35"/>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Protocole Additionnel n°I relatif aux organes de contrôle de l’UEMOA, in Bulletin officiel de l’UEMOA n°05, édition spéciale ;</w:t>
      </w:r>
    </w:p>
    <w:p w:rsidR="00694424" w:rsidRPr="00695693" w:rsidRDefault="00694424" w:rsidP="00695693">
      <w:pPr>
        <w:pStyle w:val="Paragraphedeliste"/>
        <w:numPr>
          <w:ilvl w:val="0"/>
          <w:numId w:val="35"/>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Acte Additionnel n°10/96 Portant statut de la Cour de Justice de l’UEMOA, édition spéciale, 10 Mai 1996 ;</w:t>
      </w:r>
    </w:p>
    <w:p w:rsidR="00694424" w:rsidRPr="00695693" w:rsidRDefault="00694424" w:rsidP="00695693">
      <w:pPr>
        <w:pStyle w:val="Paragraphedeliste"/>
        <w:numPr>
          <w:ilvl w:val="0"/>
          <w:numId w:val="35"/>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Règlement n°1/96/CM Portant règlement des procédures de la Cour de Justice de l’UEMOA, signé à Ouagadougou le 05 Juillet 1996 ;</w:t>
      </w:r>
    </w:p>
    <w:p w:rsidR="00694424" w:rsidRDefault="00694424" w:rsidP="00695693">
      <w:pPr>
        <w:pStyle w:val="Paragraphedeliste"/>
        <w:numPr>
          <w:ilvl w:val="0"/>
          <w:numId w:val="35"/>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Traité révisé de l’UEMOA du 29 Janvier 2003, disponible sur le site internet de l’UEMOA : </w:t>
      </w:r>
      <w:hyperlink r:id="rId36" w:history="1">
        <w:r w:rsidRPr="00695693">
          <w:rPr>
            <w:rStyle w:val="Lienhypertexte"/>
            <w:rFonts w:ascii="Times New Roman" w:hAnsi="Times New Roman" w:cs="Times New Roman"/>
            <w:sz w:val="24"/>
            <w:szCs w:val="24"/>
          </w:rPr>
          <w:t>http://www.uemoa.int</w:t>
        </w:r>
      </w:hyperlink>
      <w:r w:rsidRPr="00695693">
        <w:rPr>
          <w:rFonts w:ascii="Times New Roman" w:hAnsi="Times New Roman" w:cs="Times New Roman"/>
          <w:sz w:val="24"/>
          <w:szCs w:val="24"/>
        </w:rPr>
        <w:t> ;</w:t>
      </w:r>
    </w:p>
    <w:p w:rsidR="005E1C4C" w:rsidRPr="00695693" w:rsidRDefault="005E1C4C" w:rsidP="00695693">
      <w:pPr>
        <w:pStyle w:val="Paragraphedeliste"/>
        <w:numPr>
          <w:ilvl w:val="0"/>
          <w:numId w:val="35"/>
        </w:numPr>
        <w:tabs>
          <w:tab w:val="center" w:pos="453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Règlement n°01/2012/CJ abrogeant et remplaçant le Règlement n°01/2010/CJ relatif au règlement administratif de la Cour de justice de l’UEMOA, disponible sur le site internet de l’UEMOA : </w:t>
      </w:r>
      <w:hyperlink r:id="rId37" w:history="1">
        <w:r w:rsidRPr="00F82097">
          <w:rPr>
            <w:rStyle w:val="Lienhypertexte"/>
            <w:rFonts w:ascii="Times New Roman" w:hAnsi="Times New Roman" w:cs="Times New Roman"/>
            <w:sz w:val="24"/>
            <w:szCs w:val="24"/>
          </w:rPr>
          <w:t>http://www.uemoa.int</w:t>
        </w:r>
      </w:hyperlink>
      <w:r>
        <w:rPr>
          <w:rFonts w:ascii="Times New Roman" w:hAnsi="Times New Roman" w:cs="Times New Roman"/>
          <w:sz w:val="24"/>
          <w:szCs w:val="24"/>
        </w:rPr>
        <w:t xml:space="preserve"> ; </w:t>
      </w:r>
    </w:p>
    <w:p w:rsidR="00600473" w:rsidRDefault="00600473">
      <w:pPr>
        <w:rPr>
          <w:rFonts w:ascii="Times New Roman" w:hAnsi="Times New Roman" w:cs="Times New Roman"/>
          <w:b/>
          <w:sz w:val="24"/>
          <w:szCs w:val="24"/>
        </w:rPr>
      </w:pPr>
    </w:p>
    <w:p w:rsidR="00C42E9C" w:rsidRPr="007A5859" w:rsidRDefault="00C42E9C" w:rsidP="007A5859">
      <w:pPr>
        <w:tabs>
          <w:tab w:val="center" w:pos="4536"/>
        </w:tabs>
        <w:spacing w:line="360" w:lineRule="auto"/>
        <w:jc w:val="both"/>
        <w:rPr>
          <w:rFonts w:ascii="Times New Roman" w:hAnsi="Times New Roman" w:cs="Times New Roman"/>
          <w:b/>
          <w:sz w:val="24"/>
          <w:szCs w:val="24"/>
        </w:rPr>
      </w:pPr>
      <w:r w:rsidRPr="007A5859">
        <w:rPr>
          <w:rFonts w:ascii="Times New Roman" w:hAnsi="Times New Roman" w:cs="Times New Roman"/>
          <w:b/>
          <w:sz w:val="24"/>
          <w:szCs w:val="24"/>
        </w:rPr>
        <w:lastRenderedPageBreak/>
        <w:t>IV. SOURCES INFORMATIQUES, INTERNET, SITE WEB</w:t>
      </w:r>
    </w:p>
    <w:p w:rsidR="00694424" w:rsidRPr="00600473" w:rsidRDefault="00694424" w:rsidP="00600473">
      <w:pPr>
        <w:pStyle w:val="Paragraphedeliste"/>
        <w:numPr>
          <w:ilvl w:val="0"/>
          <w:numId w:val="50"/>
        </w:numPr>
        <w:tabs>
          <w:tab w:val="center" w:pos="4536"/>
        </w:tabs>
        <w:spacing w:line="360" w:lineRule="auto"/>
        <w:jc w:val="both"/>
        <w:rPr>
          <w:rFonts w:ascii="Times New Roman" w:hAnsi="Times New Roman" w:cs="Times New Roman"/>
          <w:sz w:val="24"/>
          <w:szCs w:val="24"/>
        </w:rPr>
      </w:pPr>
      <w:r w:rsidRPr="00600473">
        <w:rPr>
          <w:rFonts w:ascii="Times New Roman" w:hAnsi="Times New Roman" w:cs="Times New Roman"/>
          <w:sz w:val="24"/>
          <w:szCs w:val="24"/>
        </w:rPr>
        <w:t>La convention de vienne du 23 Mai 1969 sur le droit des Traités</w:t>
      </w:r>
      <w:r w:rsidR="00C53B3B" w:rsidRPr="00600473">
        <w:rPr>
          <w:rFonts w:ascii="Times New Roman" w:hAnsi="Times New Roman" w:cs="Times New Roman"/>
          <w:sz w:val="24"/>
          <w:szCs w:val="24"/>
        </w:rPr>
        <w:t xml:space="preserve">, accessible en ligne sur : </w:t>
      </w:r>
      <w:hyperlink r:id="rId38" w:history="1">
        <w:r w:rsidR="00E328B9" w:rsidRPr="00600473">
          <w:rPr>
            <w:rStyle w:val="Lienhypertexte"/>
            <w:rFonts w:ascii="Times New Roman" w:hAnsi="Times New Roman" w:cs="Times New Roman"/>
            <w:sz w:val="24"/>
            <w:szCs w:val="24"/>
          </w:rPr>
          <w:t>https://textesdipannotes.files.wordpress.com</w:t>
        </w:r>
      </w:hyperlink>
      <w:r w:rsidR="00E328B9" w:rsidRPr="00600473">
        <w:rPr>
          <w:rFonts w:ascii="Times New Roman" w:hAnsi="Times New Roman" w:cs="Times New Roman"/>
          <w:sz w:val="24"/>
          <w:szCs w:val="24"/>
        </w:rPr>
        <w:t xml:space="preserve"> , consulté le 20 Mars</w:t>
      </w:r>
      <w:r w:rsidR="00C53B3B" w:rsidRPr="00600473">
        <w:rPr>
          <w:rFonts w:ascii="Times New Roman" w:hAnsi="Times New Roman" w:cs="Times New Roman"/>
          <w:sz w:val="24"/>
          <w:szCs w:val="24"/>
        </w:rPr>
        <w:t xml:space="preserve"> 2017</w:t>
      </w:r>
      <w:r w:rsidRPr="00600473">
        <w:rPr>
          <w:rFonts w:ascii="Times New Roman" w:hAnsi="Times New Roman" w:cs="Times New Roman"/>
          <w:sz w:val="24"/>
          <w:szCs w:val="24"/>
        </w:rPr>
        <w:t> ;</w:t>
      </w:r>
    </w:p>
    <w:p w:rsidR="00694424" w:rsidRPr="00695693" w:rsidRDefault="00694424" w:rsidP="00695693">
      <w:pPr>
        <w:pStyle w:val="Paragraphedeliste"/>
        <w:numPr>
          <w:ilvl w:val="0"/>
          <w:numId w:val="35"/>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Le Traité constitutif du Marché Commun de l’Afrique de l’Est et de l’Afrique Australe, signé à Kampala le 05 Sept</w:t>
      </w:r>
      <w:r w:rsidR="00C53B3B" w:rsidRPr="00695693">
        <w:rPr>
          <w:rFonts w:ascii="Times New Roman" w:hAnsi="Times New Roman" w:cs="Times New Roman"/>
          <w:sz w:val="24"/>
          <w:szCs w:val="24"/>
        </w:rPr>
        <w:t xml:space="preserve">embre 1980, accessible en ligne sur le site internet du COMESA : </w:t>
      </w:r>
      <w:hyperlink r:id="rId39" w:history="1">
        <w:r w:rsidR="00C53B3B" w:rsidRPr="00695693">
          <w:rPr>
            <w:rStyle w:val="Lienhypertexte"/>
            <w:rFonts w:ascii="Times New Roman" w:hAnsi="Times New Roman" w:cs="Times New Roman"/>
            <w:sz w:val="24"/>
            <w:szCs w:val="24"/>
          </w:rPr>
          <w:t>www.comesa.int</w:t>
        </w:r>
      </w:hyperlink>
      <w:r w:rsidR="00C53B3B" w:rsidRPr="00695693">
        <w:rPr>
          <w:rFonts w:ascii="Times New Roman" w:hAnsi="Times New Roman" w:cs="Times New Roman"/>
          <w:sz w:val="24"/>
          <w:szCs w:val="24"/>
        </w:rPr>
        <w:t xml:space="preserve"> , </w:t>
      </w:r>
      <w:r w:rsidR="001C13DD" w:rsidRPr="00695693">
        <w:rPr>
          <w:rFonts w:ascii="Times New Roman" w:hAnsi="Times New Roman" w:cs="Times New Roman"/>
          <w:sz w:val="24"/>
          <w:szCs w:val="24"/>
        </w:rPr>
        <w:t>consulté le 26 Septembre 2017 ;</w:t>
      </w:r>
    </w:p>
    <w:p w:rsidR="006A6690" w:rsidRPr="002063EF" w:rsidRDefault="00694424" w:rsidP="002063EF">
      <w:pPr>
        <w:pStyle w:val="Paragraphedeliste"/>
        <w:numPr>
          <w:ilvl w:val="0"/>
          <w:numId w:val="35"/>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Le Traité instituant la CEMAC, si</w:t>
      </w:r>
      <w:r w:rsidR="001C13DD" w:rsidRPr="00695693">
        <w:rPr>
          <w:rFonts w:ascii="Times New Roman" w:hAnsi="Times New Roman" w:cs="Times New Roman"/>
          <w:sz w:val="24"/>
          <w:szCs w:val="24"/>
        </w:rPr>
        <w:t xml:space="preserve">gné à N’Djamena le 16 Mars 1994, disponible sur : </w:t>
      </w:r>
      <w:hyperlink r:id="rId40" w:history="1">
        <w:r w:rsidR="001C13DD" w:rsidRPr="00695693">
          <w:rPr>
            <w:rStyle w:val="Lienhypertexte"/>
            <w:rFonts w:ascii="Times New Roman" w:hAnsi="Times New Roman" w:cs="Times New Roman"/>
            <w:sz w:val="24"/>
            <w:szCs w:val="24"/>
          </w:rPr>
          <w:t>www.wipo.int</w:t>
        </w:r>
      </w:hyperlink>
      <w:r w:rsidR="001C13DD" w:rsidRPr="00695693">
        <w:rPr>
          <w:rFonts w:ascii="Times New Roman" w:hAnsi="Times New Roman" w:cs="Times New Roman"/>
          <w:sz w:val="24"/>
          <w:szCs w:val="24"/>
        </w:rPr>
        <w:t xml:space="preserve"> , consulté le 04 Décembre 2017</w:t>
      </w:r>
      <w:r w:rsidRPr="00695693">
        <w:rPr>
          <w:rFonts w:ascii="Times New Roman" w:hAnsi="Times New Roman" w:cs="Times New Roman"/>
          <w:sz w:val="24"/>
          <w:szCs w:val="24"/>
        </w:rPr>
        <w:t>;</w:t>
      </w:r>
    </w:p>
    <w:p w:rsidR="003D2BF8" w:rsidRDefault="003D2BF8" w:rsidP="00695693">
      <w:pPr>
        <w:pStyle w:val="Paragraphedeliste"/>
        <w:numPr>
          <w:ilvl w:val="0"/>
          <w:numId w:val="35"/>
        </w:numPr>
        <w:tabs>
          <w:tab w:val="center" w:pos="4536"/>
        </w:tabs>
        <w:spacing w:line="360" w:lineRule="auto"/>
        <w:jc w:val="both"/>
        <w:rPr>
          <w:rFonts w:ascii="Times New Roman" w:hAnsi="Times New Roman" w:cs="Times New Roman"/>
          <w:sz w:val="24"/>
          <w:szCs w:val="24"/>
        </w:rPr>
      </w:pPr>
      <w:r>
        <w:rPr>
          <w:rFonts w:ascii="Times New Roman" w:hAnsi="Times New Roman" w:cs="Times New Roman"/>
          <w:sz w:val="24"/>
          <w:szCs w:val="24"/>
        </w:rPr>
        <w:t>La version consolidée du Traité sur l’Union européenne du 26 Octobre 2012, Journal officiel  de l’Union européenne, accessible en ligne sur</w:t>
      </w:r>
      <w:r w:rsidR="009C187B">
        <w:rPr>
          <w:rFonts w:ascii="Times New Roman" w:hAnsi="Times New Roman" w:cs="Times New Roman"/>
          <w:sz w:val="24"/>
          <w:szCs w:val="24"/>
        </w:rPr>
        <w:t xml:space="preserve"> : </w:t>
      </w:r>
      <w:hyperlink r:id="rId41" w:history="1">
        <w:r w:rsidR="009C187B" w:rsidRPr="0052418A">
          <w:rPr>
            <w:rStyle w:val="Lienhypertexte"/>
            <w:rFonts w:ascii="Times New Roman" w:hAnsi="Times New Roman" w:cs="Times New Roman"/>
            <w:sz w:val="24"/>
            <w:szCs w:val="24"/>
          </w:rPr>
          <w:t>https://eur-lex.europa.eu</w:t>
        </w:r>
      </w:hyperlink>
      <w:r w:rsidR="006A6690">
        <w:rPr>
          <w:rFonts w:ascii="Times New Roman" w:hAnsi="Times New Roman" w:cs="Times New Roman"/>
          <w:sz w:val="24"/>
          <w:szCs w:val="24"/>
        </w:rPr>
        <w:t>, consulté le 10 Avril 2017 ;</w:t>
      </w:r>
    </w:p>
    <w:p w:rsidR="00546D4E" w:rsidRPr="00695693" w:rsidRDefault="00546D4E" w:rsidP="00695693">
      <w:pPr>
        <w:pStyle w:val="Paragraphedeliste"/>
        <w:numPr>
          <w:ilvl w:val="0"/>
          <w:numId w:val="35"/>
        </w:numPr>
        <w:tabs>
          <w:tab w:val="center" w:pos="4536"/>
        </w:tabs>
        <w:spacing w:line="360" w:lineRule="auto"/>
        <w:jc w:val="both"/>
        <w:rPr>
          <w:rFonts w:ascii="Times New Roman" w:hAnsi="Times New Roman" w:cs="Times New Roman"/>
          <w:sz w:val="24"/>
          <w:szCs w:val="24"/>
        </w:rPr>
      </w:pPr>
      <w:r>
        <w:rPr>
          <w:rFonts w:ascii="Times New Roman" w:hAnsi="Times New Roman" w:cs="Times New Roman"/>
          <w:sz w:val="24"/>
          <w:szCs w:val="24"/>
        </w:rPr>
        <w:t>La version consolidée du règlement de procédure de la Cour de justice du 25 Septembre 2012 (JO L 265 du 29 Septembre 2012), tel que modifié le 18 Juin 2013 (JO L 173 du 26 Juin</w:t>
      </w:r>
      <w:r w:rsidR="001A0FCC">
        <w:rPr>
          <w:rFonts w:ascii="Times New Roman" w:hAnsi="Times New Roman" w:cs="Times New Roman"/>
          <w:sz w:val="24"/>
          <w:szCs w:val="24"/>
        </w:rPr>
        <w:t xml:space="preserve"> 2013) et le 19 Juillet 2016 (JO L 217 du 12 Août 2016), accessible en ligne sur : </w:t>
      </w:r>
      <w:hyperlink r:id="rId42" w:history="1">
        <w:r w:rsidR="001A0FCC" w:rsidRPr="00B708C2">
          <w:rPr>
            <w:rStyle w:val="Lienhypertexte"/>
            <w:rFonts w:ascii="Times New Roman" w:hAnsi="Times New Roman" w:cs="Times New Roman"/>
            <w:sz w:val="24"/>
            <w:szCs w:val="24"/>
          </w:rPr>
          <w:t>https://eur-lex.europa.eu</w:t>
        </w:r>
      </w:hyperlink>
      <w:r w:rsidR="001A0FCC">
        <w:rPr>
          <w:rFonts w:ascii="Times New Roman" w:hAnsi="Times New Roman" w:cs="Times New Roman"/>
          <w:sz w:val="24"/>
          <w:szCs w:val="24"/>
        </w:rPr>
        <w:t xml:space="preserve"> , consulté le 30 Mai 2017 ; </w:t>
      </w:r>
    </w:p>
    <w:p w:rsidR="00694424" w:rsidRPr="00695693" w:rsidRDefault="00694424" w:rsidP="00695693">
      <w:pPr>
        <w:pStyle w:val="Paragraphedeliste"/>
        <w:numPr>
          <w:ilvl w:val="0"/>
          <w:numId w:val="35"/>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La Version consolidée du Traité sur le Fonctionnement de l’Union européenne du 09 Mai 2008, Journal officiel de l’Union européenne</w:t>
      </w:r>
      <w:r w:rsidR="001C13DD" w:rsidRPr="00695693">
        <w:rPr>
          <w:rFonts w:ascii="Times New Roman" w:hAnsi="Times New Roman" w:cs="Times New Roman"/>
          <w:sz w:val="24"/>
          <w:szCs w:val="24"/>
        </w:rPr>
        <w:t xml:space="preserve">, accessible en ligne sur : </w:t>
      </w:r>
      <w:hyperlink r:id="rId43" w:history="1">
        <w:r w:rsidR="009C187B" w:rsidRPr="0052418A">
          <w:rPr>
            <w:rStyle w:val="Lienhypertexte"/>
            <w:rFonts w:ascii="Times New Roman" w:hAnsi="Times New Roman" w:cs="Times New Roman"/>
            <w:sz w:val="24"/>
            <w:szCs w:val="24"/>
          </w:rPr>
          <w:t>https://eur-lex.europa.eu</w:t>
        </w:r>
      </w:hyperlink>
      <w:r w:rsidR="004919EF" w:rsidRPr="00695693">
        <w:rPr>
          <w:rFonts w:ascii="Times New Roman" w:hAnsi="Times New Roman" w:cs="Times New Roman"/>
          <w:sz w:val="24"/>
          <w:szCs w:val="24"/>
        </w:rPr>
        <w:t xml:space="preserve"> , consulté le 22 Décembre 2017</w:t>
      </w:r>
      <w:r w:rsidRPr="00695693">
        <w:rPr>
          <w:rFonts w:ascii="Times New Roman" w:hAnsi="Times New Roman" w:cs="Times New Roman"/>
          <w:sz w:val="24"/>
          <w:szCs w:val="24"/>
        </w:rPr>
        <w:t> ;</w:t>
      </w:r>
    </w:p>
    <w:p w:rsidR="00A05BE3" w:rsidRPr="00695693" w:rsidRDefault="00A05BE3" w:rsidP="00695693">
      <w:pPr>
        <w:pStyle w:val="Paragraphedeliste"/>
        <w:numPr>
          <w:ilvl w:val="0"/>
          <w:numId w:val="35"/>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 xml:space="preserve">Le Traité de Port-Louis du 17 Octobre 1993 modifié par le Traité de Québec du 17 Octobre 2008, disponible sur : </w:t>
      </w:r>
      <w:hyperlink r:id="rId44" w:history="1">
        <w:r w:rsidRPr="00695693">
          <w:rPr>
            <w:rStyle w:val="Lienhypertexte"/>
            <w:rFonts w:ascii="Times New Roman" w:hAnsi="Times New Roman" w:cs="Times New Roman"/>
            <w:sz w:val="24"/>
            <w:szCs w:val="24"/>
          </w:rPr>
          <w:t>www.droit-afrique.com</w:t>
        </w:r>
      </w:hyperlink>
      <w:r w:rsidRPr="00695693">
        <w:rPr>
          <w:rFonts w:ascii="Times New Roman" w:hAnsi="Times New Roman" w:cs="Times New Roman"/>
          <w:sz w:val="24"/>
          <w:szCs w:val="24"/>
        </w:rPr>
        <w:t xml:space="preserve"> , consulté le 20 Juillet 2017 ;</w:t>
      </w:r>
    </w:p>
    <w:p w:rsidR="00694424" w:rsidRPr="00695693" w:rsidRDefault="00694424" w:rsidP="00695693">
      <w:pPr>
        <w:pStyle w:val="Paragraphedeliste"/>
        <w:numPr>
          <w:ilvl w:val="0"/>
          <w:numId w:val="35"/>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La Convention de Libreville du 30 Janvier 2009 régissant la Cour de Justice de la CEMAC, accessible en ligne à l’adresse suivante :</w:t>
      </w:r>
      <w:hyperlink r:id="rId45" w:history="1">
        <w:r w:rsidR="00E328B9" w:rsidRPr="00695693">
          <w:rPr>
            <w:rStyle w:val="Lienhypertexte"/>
            <w:rFonts w:ascii="Times New Roman" w:hAnsi="Times New Roman" w:cs="Times New Roman"/>
            <w:sz w:val="24"/>
            <w:szCs w:val="24"/>
          </w:rPr>
          <w:t>www.droit-afrique.com</w:t>
        </w:r>
      </w:hyperlink>
      <w:r w:rsidR="00E328B9" w:rsidRPr="00695693">
        <w:rPr>
          <w:rFonts w:ascii="Times New Roman" w:hAnsi="Times New Roman" w:cs="Times New Roman"/>
          <w:sz w:val="24"/>
          <w:szCs w:val="24"/>
        </w:rPr>
        <w:t xml:space="preserve"> , consulté le 22 Juin 2017 ;</w:t>
      </w:r>
    </w:p>
    <w:p w:rsidR="00694424" w:rsidRDefault="00694424" w:rsidP="00695693">
      <w:pPr>
        <w:pStyle w:val="Paragraphedeliste"/>
        <w:numPr>
          <w:ilvl w:val="0"/>
          <w:numId w:val="35"/>
        </w:numPr>
        <w:tabs>
          <w:tab w:val="center" w:pos="4536"/>
        </w:tabs>
        <w:spacing w:line="360" w:lineRule="auto"/>
        <w:jc w:val="both"/>
        <w:rPr>
          <w:rFonts w:ascii="Times New Roman" w:hAnsi="Times New Roman" w:cs="Times New Roman"/>
          <w:sz w:val="24"/>
          <w:szCs w:val="24"/>
        </w:rPr>
      </w:pPr>
      <w:r w:rsidRPr="00695693">
        <w:rPr>
          <w:rFonts w:ascii="Times New Roman" w:hAnsi="Times New Roman" w:cs="Times New Roman"/>
          <w:sz w:val="24"/>
          <w:szCs w:val="24"/>
        </w:rPr>
        <w:t>Le Protocole sur le Tribunal de la Communauté de développement de l’Afrique Australe, accessible en ligne à l’adresse suivante :</w:t>
      </w:r>
      <w:hyperlink r:id="rId46" w:history="1">
        <w:r w:rsidR="00E328B9" w:rsidRPr="00695693">
          <w:rPr>
            <w:rStyle w:val="Lienhypertexte"/>
            <w:rFonts w:ascii="Times New Roman" w:hAnsi="Times New Roman" w:cs="Times New Roman"/>
            <w:sz w:val="24"/>
            <w:szCs w:val="24"/>
          </w:rPr>
          <w:t>www.ihrda.org</w:t>
        </w:r>
      </w:hyperlink>
      <w:r w:rsidR="00E328B9" w:rsidRPr="00695693">
        <w:rPr>
          <w:rFonts w:ascii="Times New Roman" w:hAnsi="Times New Roman" w:cs="Times New Roman"/>
          <w:sz w:val="24"/>
          <w:szCs w:val="24"/>
        </w:rPr>
        <w:t xml:space="preserve"> , consulté le 25 Septembre 2017 ;</w:t>
      </w:r>
    </w:p>
    <w:p w:rsidR="003467A6" w:rsidRPr="009E6C99" w:rsidRDefault="00A81389" w:rsidP="009E6C99">
      <w:pPr>
        <w:pStyle w:val="Paragraphedeliste"/>
        <w:numPr>
          <w:ilvl w:val="0"/>
          <w:numId w:val="35"/>
        </w:numPr>
        <w:tabs>
          <w:tab w:val="center" w:pos="4536"/>
        </w:tabs>
        <w:spacing w:line="360" w:lineRule="auto"/>
        <w:jc w:val="both"/>
        <w:rPr>
          <w:rFonts w:ascii="Times New Roman" w:hAnsi="Times New Roman" w:cs="Times New Roman"/>
          <w:sz w:val="24"/>
          <w:szCs w:val="24"/>
        </w:rPr>
      </w:pPr>
      <w:r>
        <w:rPr>
          <w:rFonts w:ascii="Times New Roman" w:hAnsi="Times New Roman" w:cs="Times New Roman"/>
          <w:sz w:val="24"/>
          <w:szCs w:val="24"/>
        </w:rPr>
        <w:t>Le nouveau règlement de procédure de la CJUE du 1</w:t>
      </w:r>
      <w:r w:rsidRPr="00A81389">
        <w:rPr>
          <w:rFonts w:ascii="Times New Roman" w:hAnsi="Times New Roman" w:cs="Times New Roman"/>
          <w:sz w:val="24"/>
          <w:szCs w:val="24"/>
          <w:vertAlign w:val="superscript"/>
        </w:rPr>
        <w:t>er</w:t>
      </w:r>
      <w:r>
        <w:rPr>
          <w:rFonts w:ascii="Times New Roman" w:hAnsi="Times New Roman" w:cs="Times New Roman"/>
          <w:sz w:val="24"/>
          <w:szCs w:val="24"/>
        </w:rPr>
        <w:t xml:space="preserve"> Novembre 2012, recommandations à l’attention des juridictions nationales, relatives à l’introduction de procédure préjudicielles du 25 Novembre 2016, Journal officiel de l’Union européenne, accessible en ligne sur : </w:t>
      </w:r>
      <w:hyperlink r:id="rId47" w:history="1">
        <w:r w:rsidRPr="0052418A">
          <w:rPr>
            <w:rStyle w:val="Lienhypertexte"/>
            <w:rFonts w:ascii="Times New Roman" w:hAnsi="Times New Roman" w:cs="Times New Roman"/>
            <w:sz w:val="24"/>
            <w:szCs w:val="24"/>
          </w:rPr>
          <w:t>https://eur-lex.europa.eu</w:t>
        </w:r>
      </w:hyperlink>
      <w:r>
        <w:rPr>
          <w:rFonts w:ascii="Times New Roman" w:hAnsi="Times New Roman" w:cs="Times New Roman"/>
          <w:sz w:val="24"/>
          <w:szCs w:val="24"/>
        </w:rPr>
        <w:t xml:space="preserve"> , consulté le 25 Juin 2018.</w:t>
      </w:r>
      <w:r w:rsidR="003467A6" w:rsidRPr="009E6C99">
        <w:rPr>
          <w:rFonts w:ascii="Times New Roman" w:hAnsi="Times New Roman" w:cs="Times New Roman"/>
          <w:sz w:val="24"/>
          <w:szCs w:val="24"/>
        </w:rPr>
        <w:br w:type="page"/>
      </w:r>
    </w:p>
    <w:p w:rsidR="00694424" w:rsidRDefault="003467A6" w:rsidP="00414AB8">
      <w:pPr>
        <w:pStyle w:val="Titre1"/>
      </w:pPr>
      <w:bookmarkStart w:id="116" w:name="_Toc515108240"/>
      <w:bookmarkStart w:id="117" w:name="_Toc518671721"/>
      <w:bookmarkStart w:id="118" w:name="_Toc518672843"/>
      <w:r>
        <w:lastRenderedPageBreak/>
        <w:t>TABLE DES MATIERES</w:t>
      </w:r>
      <w:bookmarkEnd w:id="116"/>
      <w:r w:rsidR="00BB70C4">
        <w:t> :</w:t>
      </w:r>
      <w:bookmarkEnd w:id="117"/>
      <w:bookmarkEnd w:id="118"/>
    </w:p>
    <w:p w:rsidR="00967D28" w:rsidRPr="000D1BD6" w:rsidRDefault="007E0BA0">
      <w:pPr>
        <w:pStyle w:val="TM1"/>
        <w:tabs>
          <w:tab w:val="right" w:leader="dot" w:pos="9062"/>
        </w:tabs>
        <w:rPr>
          <w:rFonts w:ascii="Times New Roman" w:eastAsiaTheme="minorEastAsia" w:hAnsi="Times New Roman" w:cs="Times New Roman"/>
          <w:b w:val="0"/>
          <w:bCs w:val="0"/>
          <w:i w:val="0"/>
          <w:iCs w:val="0"/>
          <w:noProof/>
          <w:sz w:val="22"/>
          <w:szCs w:val="22"/>
          <w:lang w:eastAsia="fr-FR"/>
        </w:rPr>
      </w:pPr>
      <w:r w:rsidRPr="007E0BA0">
        <w:rPr>
          <w:sz w:val="22"/>
          <w:szCs w:val="22"/>
        </w:rPr>
        <w:fldChar w:fldCharType="begin"/>
      </w:r>
      <w:r w:rsidR="00BB70C4" w:rsidRPr="000D1BD6">
        <w:rPr>
          <w:sz w:val="22"/>
          <w:szCs w:val="22"/>
        </w:rPr>
        <w:instrText xml:space="preserve"> TOC \o "1-5" \h \z \u </w:instrText>
      </w:r>
      <w:r w:rsidRPr="007E0BA0">
        <w:rPr>
          <w:sz w:val="22"/>
          <w:szCs w:val="22"/>
        </w:rPr>
        <w:fldChar w:fldCharType="separate"/>
      </w:r>
      <w:hyperlink w:anchor="_Toc518672771" w:history="1">
        <w:r w:rsidR="00967D28" w:rsidRPr="000D1BD6">
          <w:rPr>
            <w:rStyle w:val="Lienhypertexte"/>
            <w:rFonts w:ascii="Times New Roman" w:hAnsi="Times New Roman" w:cs="Times New Roman"/>
            <w:noProof/>
            <w:sz w:val="22"/>
            <w:szCs w:val="22"/>
          </w:rPr>
          <w:t>AVERTISSEMENT</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_Toc518672771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i</w:t>
        </w:r>
        <w:r w:rsidRPr="000D1BD6">
          <w:rPr>
            <w:rFonts w:ascii="Times New Roman" w:hAnsi="Times New Roman" w:cs="Times New Roman"/>
            <w:noProof/>
            <w:webHidden/>
            <w:sz w:val="22"/>
            <w:szCs w:val="22"/>
          </w:rPr>
          <w:fldChar w:fldCharType="end"/>
        </w:r>
      </w:hyperlink>
    </w:p>
    <w:p w:rsidR="00967D28" w:rsidRPr="000D1BD6" w:rsidRDefault="007E0BA0">
      <w:pPr>
        <w:pStyle w:val="TM1"/>
        <w:tabs>
          <w:tab w:val="right" w:leader="dot" w:pos="9062"/>
        </w:tabs>
        <w:rPr>
          <w:rFonts w:ascii="Times New Roman" w:eastAsiaTheme="minorEastAsia" w:hAnsi="Times New Roman" w:cs="Times New Roman"/>
          <w:b w:val="0"/>
          <w:bCs w:val="0"/>
          <w:i w:val="0"/>
          <w:iCs w:val="0"/>
          <w:noProof/>
          <w:sz w:val="22"/>
          <w:szCs w:val="22"/>
          <w:lang w:eastAsia="fr-FR"/>
        </w:rPr>
      </w:pPr>
      <w:hyperlink w:anchor="_Toc518672772" w:history="1">
        <w:r w:rsidR="00967D28" w:rsidRPr="000D1BD6">
          <w:rPr>
            <w:rStyle w:val="Lienhypertexte"/>
            <w:rFonts w:ascii="Times New Roman" w:hAnsi="Times New Roman" w:cs="Times New Roman"/>
            <w:noProof/>
            <w:sz w:val="22"/>
            <w:szCs w:val="22"/>
          </w:rPr>
          <w:t>DEDICACES :</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_Toc518672772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iii</w:t>
        </w:r>
        <w:r w:rsidRPr="000D1BD6">
          <w:rPr>
            <w:rFonts w:ascii="Times New Roman" w:hAnsi="Times New Roman" w:cs="Times New Roman"/>
            <w:noProof/>
            <w:webHidden/>
            <w:sz w:val="22"/>
            <w:szCs w:val="22"/>
          </w:rPr>
          <w:fldChar w:fldCharType="end"/>
        </w:r>
      </w:hyperlink>
    </w:p>
    <w:p w:rsidR="00967D28" w:rsidRPr="000D1BD6" w:rsidRDefault="007E0BA0">
      <w:pPr>
        <w:pStyle w:val="TM1"/>
        <w:tabs>
          <w:tab w:val="right" w:leader="dot" w:pos="9062"/>
        </w:tabs>
        <w:rPr>
          <w:rFonts w:ascii="Times New Roman" w:eastAsiaTheme="minorEastAsia" w:hAnsi="Times New Roman" w:cs="Times New Roman"/>
          <w:b w:val="0"/>
          <w:bCs w:val="0"/>
          <w:i w:val="0"/>
          <w:iCs w:val="0"/>
          <w:noProof/>
          <w:sz w:val="22"/>
          <w:szCs w:val="22"/>
          <w:lang w:eastAsia="fr-FR"/>
        </w:rPr>
      </w:pPr>
      <w:hyperlink w:anchor="_Toc518672773" w:history="1">
        <w:r w:rsidR="00967D28" w:rsidRPr="000D1BD6">
          <w:rPr>
            <w:rStyle w:val="Lienhypertexte"/>
            <w:rFonts w:ascii="Times New Roman" w:hAnsi="Times New Roman" w:cs="Times New Roman"/>
            <w:noProof/>
            <w:sz w:val="22"/>
            <w:szCs w:val="22"/>
          </w:rPr>
          <w:t>REMERCIEMENTS :</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_Toc518672773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iv</w:t>
        </w:r>
        <w:r w:rsidRPr="000D1BD6">
          <w:rPr>
            <w:rFonts w:ascii="Times New Roman" w:hAnsi="Times New Roman" w:cs="Times New Roman"/>
            <w:noProof/>
            <w:webHidden/>
            <w:sz w:val="22"/>
            <w:szCs w:val="22"/>
          </w:rPr>
          <w:fldChar w:fldCharType="end"/>
        </w:r>
      </w:hyperlink>
    </w:p>
    <w:p w:rsidR="00967D28" w:rsidRPr="000D1BD6" w:rsidRDefault="007E0BA0">
      <w:pPr>
        <w:pStyle w:val="TM1"/>
        <w:tabs>
          <w:tab w:val="right" w:leader="dot" w:pos="9062"/>
        </w:tabs>
        <w:rPr>
          <w:rFonts w:ascii="Times New Roman" w:eastAsiaTheme="minorEastAsia" w:hAnsi="Times New Roman" w:cs="Times New Roman"/>
          <w:b w:val="0"/>
          <w:bCs w:val="0"/>
          <w:i w:val="0"/>
          <w:iCs w:val="0"/>
          <w:noProof/>
          <w:sz w:val="22"/>
          <w:szCs w:val="22"/>
          <w:lang w:eastAsia="fr-FR"/>
        </w:rPr>
      </w:pPr>
      <w:hyperlink w:anchor="_Toc518672774" w:history="1">
        <w:r w:rsidR="00967D28" w:rsidRPr="000D1BD6">
          <w:rPr>
            <w:rStyle w:val="Lienhypertexte"/>
            <w:rFonts w:ascii="Times New Roman" w:hAnsi="Times New Roman" w:cs="Times New Roman"/>
            <w:noProof/>
            <w:sz w:val="22"/>
            <w:szCs w:val="22"/>
          </w:rPr>
          <w:t>LISTE DES SIGLES, ABREVIATIONS ET ACRONYMES :</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_Toc518672774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v</w:t>
        </w:r>
        <w:r w:rsidRPr="000D1BD6">
          <w:rPr>
            <w:rFonts w:ascii="Times New Roman" w:hAnsi="Times New Roman" w:cs="Times New Roman"/>
            <w:noProof/>
            <w:webHidden/>
            <w:sz w:val="22"/>
            <w:szCs w:val="22"/>
          </w:rPr>
          <w:fldChar w:fldCharType="end"/>
        </w:r>
      </w:hyperlink>
    </w:p>
    <w:p w:rsidR="00967D28" w:rsidRPr="000D1BD6" w:rsidRDefault="007E0BA0">
      <w:pPr>
        <w:pStyle w:val="TM1"/>
        <w:tabs>
          <w:tab w:val="right" w:leader="dot" w:pos="9062"/>
        </w:tabs>
        <w:rPr>
          <w:rFonts w:ascii="Times New Roman" w:eastAsiaTheme="minorEastAsia" w:hAnsi="Times New Roman" w:cs="Times New Roman"/>
          <w:b w:val="0"/>
          <w:bCs w:val="0"/>
          <w:i w:val="0"/>
          <w:iCs w:val="0"/>
          <w:noProof/>
          <w:sz w:val="22"/>
          <w:szCs w:val="22"/>
          <w:lang w:eastAsia="fr-FR"/>
        </w:rPr>
      </w:pPr>
      <w:hyperlink w:anchor="_Toc518672775" w:history="1">
        <w:r w:rsidR="00967D28" w:rsidRPr="000D1BD6">
          <w:rPr>
            <w:rStyle w:val="Lienhypertexte"/>
            <w:rFonts w:ascii="Times New Roman" w:hAnsi="Times New Roman" w:cs="Times New Roman"/>
            <w:noProof/>
            <w:sz w:val="22"/>
            <w:szCs w:val="22"/>
          </w:rPr>
          <w:t>SOMMAIRE</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_Toc518672775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viii</w:t>
        </w:r>
        <w:r w:rsidRPr="000D1BD6">
          <w:rPr>
            <w:rFonts w:ascii="Times New Roman" w:hAnsi="Times New Roman" w:cs="Times New Roman"/>
            <w:noProof/>
            <w:webHidden/>
            <w:sz w:val="22"/>
            <w:szCs w:val="22"/>
          </w:rPr>
          <w:fldChar w:fldCharType="end"/>
        </w:r>
      </w:hyperlink>
    </w:p>
    <w:p w:rsidR="00967D28" w:rsidRPr="000D1BD6" w:rsidRDefault="007E0BA0">
      <w:pPr>
        <w:pStyle w:val="TM1"/>
        <w:tabs>
          <w:tab w:val="right" w:leader="dot" w:pos="9062"/>
        </w:tabs>
        <w:rPr>
          <w:rFonts w:ascii="Times New Roman" w:eastAsiaTheme="minorEastAsia" w:hAnsi="Times New Roman" w:cs="Times New Roman"/>
          <w:b w:val="0"/>
          <w:bCs w:val="0"/>
          <w:i w:val="0"/>
          <w:iCs w:val="0"/>
          <w:noProof/>
          <w:sz w:val="22"/>
          <w:szCs w:val="22"/>
          <w:lang w:eastAsia="fr-FR"/>
        </w:rPr>
      </w:pPr>
      <w:hyperlink w:anchor="_Toc518672776" w:history="1">
        <w:r w:rsidR="00967D28" w:rsidRPr="000D1BD6">
          <w:rPr>
            <w:rStyle w:val="Lienhypertexte"/>
            <w:rFonts w:ascii="Times New Roman" w:hAnsi="Times New Roman" w:cs="Times New Roman"/>
            <w:noProof/>
            <w:sz w:val="22"/>
            <w:szCs w:val="22"/>
          </w:rPr>
          <w:t>INTRODUCTION GENERALE</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_Toc518672776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1</w:t>
        </w:r>
        <w:r w:rsidRPr="000D1BD6">
          <w:rPr>
            <w:rFonts w:ascii="Times New Roman" w:hAnsi="Times New Roman" w:cs="Times New Roman"/>
            <w:noProof/>
            <w:webHidden/>
            <w:sz w:val="22"/>
            <w:szCs w:val="22"/>
          </w:rPr>
          <w:fldChar w:fldCharType="end"/>
        </w:r>
      </w:hyperlink>
    </w:p>
    <w:p w:rsidR="00967D28" w:rsidRPr="000D1BD6" w:rsidRDefault="007E0BA0">
      <w:pPr>
        <w:pStyle w:val="TM1"/>
        <w:tabs>
          <w:tab w:val="right" w:leader="dot" w:pos="9062"/>
        </w:tabs>
        <w:rPr>
          <w:rFonts w:ascii="Times New Roman" w:eastAsiaTheme="minorEastAsia" w:hAnsi="Times New Roman" w:cs="Times New Roman"/>
          <w:b w:val="0"/>
          <w:bCs w:val="0"/>
          <w:i w:val="0"/>
          <w:iCs w:val="0"/>
          <w:noProof/>
          <w:sz w:val="22"/>
          <w:szCs w:val="22"/>
          <w:lang w:eastAsia="fr-FR"/>
        </w:rPr>
      </w:pPr>
      <w:hyperlink w:anchor="_Toc518672777" w:history="1">
        <w:r w:rsidR="00967D28" w:rsidRPr="000D1BD6">
          <w:rPr>
            <w:rStyle w:val="Lienhypertexte"/>
            <w:rFonts w:ascii="Times New Roman" w:hAnsi="Times New Roman" w:cs="Times New Roman"/>
            <w:noProof/>
            <w:sz w:val="22"/>
            <w:szCs w:val="22"/>
          </w:rPr>
          <w:t>TITRE I : UN RENVOI THEORIQUEMENT CONSACRE</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_Toc518672777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9</w:t>
        </w:r>
        <w:r w:rsidRPr="000D1BD6">
          <w:rPr>
            <w:rFonts w:ascii="Times New Roman" w:hAnsi="Times New Roman" w:cs="Times New Roman"/>
            <w:noProof/>
            <w:webHidden/>
            <w:sz w:val="22"/>
            <w:szCs w:val="22"/>
          </w:rPr>
          <w:fldChar w:fldCharType="end"/>
        </w:r>
      </w:hyperlink>
    </w:p>
    <w:p w:rsidR="00967D28" w:rsidRPr="000D1BD6" w:rsidRDefault="007E0BA0">
      <w:pPr>
        <w:pStyle w:val="TM2"/>
        <w:tabs>
          <w:tab w:val="right" w:leader="dot" w:pos="9062"/>
        </w:tabs>
        <w:rPr>
          <w:rFonts w:ascii="Times New Roman" w:eastAsiaTheme="minorEastAsia" w:hAnsi="Times New Roman" w:cs="Times New Roman"/>
          <w:b w:val="0"/>
          <w:bCs w:val="0"/>
          <w:noProof/>
          <w:lang w:eastAsia="fr-FR"/>
        </w:rPr>
      </w:pPr>
      <w:hyperlink w:anchor="_Toc518672778" w:history="1">
        <w:r w:rsidR="00967D28" w:rsidRPr="000D1BD6">
          <w:rPr>
            <w:rStyle w:val="Lienhypertexte"/>
            <w:rFonts w:ascii="Times New Roman" w:hAnsi="Times New Roman" w:cs="Times New Roman"/>
            <w:noProof/>
          </w:rPr>
          <w:t>CHAPITRE I : LES OUTILS DE MISE EN ŒUVRE DU RENVOI PREJUDICIEL</w:t>
        </w:r>
        <w:r w:rsidR="00967D28" w:rsidRPr="000D1BD6">
          <w:rPr>
            <w:rFonts w:ascii="Times New Roman" w:hAnsi="Times New Roman" w:cs="Times New Roman"/>
            <w:noProof/>
            <w:webHidden/>
          </w:rPr>
          <w:tab/>
        </w:r>
        <w:r w:rsidRPr="000D1BD6">
          <w:rPr>
            <w:rFonts w:ascii="Times New Roman" w:hAnsi="Times New Roman" w:cs="Times New Roman"/>
            <w:noProof/>
            <w:webHidden/>
          </w:rPr>
          <w:fldChar w:fldCharType="begin"/>
        </w:r>
        <w:r w:rsidR="00967D28" w:rsidRPr="000D1BD6">
          <w:rPr>
            <w:rFonts w:ascii="Times New Roman" w:hAnsi="Times New Roman" w:cs="Times New Roman"/>
            <w:noProof/>
            <w:webHidden/>
          </w:rPr>
          <w:instrText xml:space="preserve"> PAGEREF _Toc518672778 \h </w:instrText>
        </w:r>
        <w:r w:rsidRPr="000D1BD6">
          <w:rPr>
            <w:rFonts w:ascii="Times New Roman" w:hAnsi="Times New Roman" w:cs="Times New Roman"/>
            <w:noProof/>
            <w:webHidden/>
          </w:rPr>
        </w:r>
        <w:r w:rsidRPr="000D1BD6">
          <w:rPr>
            <w:rFonts w:ascii="Times New Roman" w:hAnsi="Times New Roman" w:cs="Times New Roman"/>
            <w:noProof/>
            <w:webHidden/>
          </w:rPr>
          <w:fldChar w:fldCharType="separate"/>
        </w:r>
        <w:r w:rsidR="00002397">
          <w:rPr>
            <w:rFonts w:ascii="Times New Roman" w:hAnsi="Times New Roman" w:cs="Times New Roman"/>
            <w:noProof/>
            <w:webHidden/>
          </w:rPr>
          <w:t>10</w:t>
        </w:r>
        <w:r w:rsidRPr="000D1BD6">
          <w:rPr>
            <w:rFonts w:ascii="Times New Roman" w:hAnsi="Times New Roman" w:cs="Times New Roman"/>
            <w:noProof/>
            <w:webHidden/>
          </w:rPr>
          <w:fldChar w:fldCharType="end"/>
        </w:r>
      </w:hyperlink>
    </w:p>
    <w:p w:rsidR="00967D28" w:rsidRPr="000D1BD6" w:rsidRDefault="007E0BA0">
      <w:pPr>
        <w:pStyle w:val="TM3"/>
        <w:tabs>
          <w:tab w:val="right" w:leader="dot" w:pos="9062"/>
        </w:tabs>
        <w:rPr>
          <w:rFonts w:ascii="Times New Roman" w:eastAsiaTheme="minorEastAsia" w:hAnsi="Times New Roman" w:cs="Times New Roman"/>
          <w:noProof/>
          <w:sz w:val="22"/>
          <w:szCs w:val="22"/>
          <w:lang w:eastAsia="fr-FR"/>
        </w:rPr>
      </w:pPr>
      <w:hyperlink w:anchor="_Toc518672779" w:history="1">
        <w:r w:rsidR="00967D28" w:rsidRPr="000D1BD6">
          <w:rPr>
            <w:rStyle w:val="Lienhypertexte"/>
            <w:rFonts w:ascii="Times New Roman" w:hAnsi="Times New Roman" w:cs="Times New Roman"/>
            <w:noProof/>
            <w:sz w:val="22"/>
            <w:szCs w:val="22"/>
          </w:rPr>
          <w:t>SECTION I : LES NORMES COMMUNAUTAIRES SUSCEPTIBLES DE RECOURS PREJUDICIEL</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_Toc518672779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10</w:t>
        </w:r>
        <w:r w:rsidRPr="000D1BD6">
          <w:rPr>
            <w:rFonts w:ascii="Times New Roman" w:hAnsi="Times New Roman" w:cs="Times New Roman"/>
            <w:noProof/>
            <w:webHidden/>
            <w:sz w:val="22"/>
            <w:szCs w:val="22"/>
          </w:rPr>
          <w:fldChar w:fldCharType="end"/>
        </w:r>
      </w:hyperlink>
    </w:p>
    <w:p w:rsidR="00967D28" w:rsidRPr="000D1BD6" w:rsidRDefault="007E0BA0">
      <w:pPr>
        <w:pStyle w:val="TM4"/>
        <w:tabs>
          <w:tab w:val="right" w:leader="dot" w:pos="9062"/>
        </w:tabs>
        <w:rPr>
          <w:rFonts w:ascii="Times New Roman" w:eastAsiaTheme="minorEastAsia" w:hAnsi="Times New Roman" w:cs="Times New Roman"/>
          <w:noProof/>
          <w:sz w:val="22"/>
          <w:szCs w:val="22"/>
          <w:lang w:eastAsia="fr-FR"/>
        </w:rPr>
      </w:pPr>
      <w:hyperlink w:anchor="_Toc518672780" w:history="1">
        <w:r w:rsidR="00967D28" w:rsidRPr="000D1BD6">
          <w:rPr>
            <w:rStyle w:val="Lienhypertexte"/>
            <w:rFonts w:ascii="Times New Roman" w:hAnsi="Times New Roman" w:cs="Times New Roman"/>
            <w:noProof/>
            <w:sz w:val="22"/>
            <w:szCs w:val="22"/>
          </w:rPr>
          <w:t>§ 1 : les normes du droit communautaire originaire</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_Toc518672780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10</w:t>
        </w:r>
        <w:r w:rsidRPr="000D1BD6">
          <w:rPr>
            <w:rFonts w:ascii="Times New Roman" w:hAnsi="Times New Roman" w:cs="Times New Roman"/>
            <w:noProof/>
            <w:webHidden/>
            <w:sz w:val="22"/>
            <w:szCs w:val="22"/>
          </w:rPr>
          <w:fldChar w:fldCharType="end"/>
        </w:r>
      </w:hyperlink>
    </w:p>
    <w:p w:rsidR="00967D28" w:rsidRPr="000D1BD6" w:rsidRDefault="007E0BA0">
      <w:pPr>
        <w:pStyle w:val="TM5"/>
        <w:tabs>
          <w:tab w:val="right" w:leader="dot" w:pos="9062"/>
        </w:tabs>
        <w:rPr>
          <w:rFonts w:ascii="Times New Roman" w:eastAsiaTheme="minorEastAsia" w:hAnsi="Times New Roman" w:cs="Times New Roman"/>
          <w:noProof/>
          <w:sz w:val="22"/>
          <w:szCs w:val="22"/>
          <w:lang w:eastAsia="fr-FR"/>
        </w:rPr>
      </w:pPr>
      <w:hyperlink w:anchor="_Toc518672781" w:history="1">
        <w:r w:rsidR="00967D28" w:rsidRPr="000D1BD6">
          <w:rPr>
            <w:rStyle w:val="Lienhypertexte"/>
            <w:rFonts w:ascii="Times New Roman" w:hAnsi="Times New Roman" w:cs="Times New Roman"/>
            <w:noProof/>
            <w:sz w:val="22"/>
            <w:szCs w:val="22"/>
          </w:rPr>
          <w:t>A.  Le Traité fondateur</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_Toc518672781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10</w:t>
        </w:r>
        <w:r w:rsidRPr="000D1BD6">
          <w:rPr>
            <w:rFonts w:ascii="Times New Roman" w:hAnsi="Times New Roman" w:cs="Times New Roman"/>
            <w:noProof/>
            <w:webHidden/>
            <w:sz w:val="22"/>
            <w:szCs w:val="22"/>
          </w:rPr>
          <w:fldChar w:fldCharType="end"/>
        </w:r>
      </w:hyperlink>
    </w:p>
    <w:p w:rsidR="00967D28" w:rsidRPr="000D1BD6" w:rsidRDefault="007E0BA0">
      <w:pPr>
        <w:pStyle w:val="TM5"/>
        <w:tabs>
          <w:tab w:val="right" w:leader="dot" w:pos="9062"/>
        </w:tabs>
        <w:rPr>
          <w:rFonts w:ascii="Times New Roman" w:eastAsiaTheme="minorEastAsia" w:hAnsi="Times New Roman" w:cs="Times New Roman"/>
          <w:noProof/>
          <w:sz w:val="22"/>
          <w:szCs w:val="22"/>
          <w:lang w:eastAsia="fr-FR"/>
        </w:rPr>
      </w:pPr>
      <w:hyperlink w:anchor="_Toc518672782" w:history="1">
        <w:r w:rsidR="00967D28" w:rsidRPr="000D1BD6">
          <w:rPr>
            <w:rStyle w:val="Lienhypertexte"/>
            <w:rFonts w:ascii="Times New Roman" w:hAnsi="Times New Roman" w:cs="Times New Roman"/>
            <w:noProof/>
            <w:sz w:val="22"/>
            <w:szCs w:val="22"/>
          </w:rPr>
          <w:t>B. Les normes annexées au Traité fondateur</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_Toc518672782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13</w:t>
        </w:r>
        <w:r w:rsidRPr="000D1BD6">
          <w:rPr>
            <w:rFonts w:ascii="Times New Roman" w:hAnsi="Times New Roman" w:cs="Times New Roman"/>
            <w:noProof/>
            <w:webHidden/>
            <w:sz w:val="22"/>
            <w:szCs w:val="22"/>
          </w:rPr>
          <w:fldChar w:fldCharType="end"/>
        </w:r>
      </w:hyperlink>
    </w:p>
    <w:p w:rsidR="00967D28" w:rsidRPr="000D1BD6" w:rsidRDefault="007E0BA0">
      <w:pPr>
        <w:pStyle w:val="TM4"/>
        <w:tabs>
          <w:tab w:val="right" w:leader="dot" w:pos="9062"/>
        </w:tabs>
        <w:rPr>
          <w:rFonts w:ascii="Times New Roman" w:eastAsiaTheme="minorEastAsia" w:hAnsi="Times New Roman" w:cs="Times New Roman"/>
          <w:noProof/>
          <w:sz w:val="22"/>
          <w:szCs w:val="22"/>
          <w:lang w:eastAsia="fr-FR"/>
        </w:rPr>
      </w:pPr>
      <w:hyperlink w:anchor="_Toc518672783" w:history="1">
        <w:r w:rsidR="00967D28" w:rsidRPr="000D1BD6">
          <w:rPr>
            <w:rStyle w:val="Lienhypertexte"/>
            <w:rFonts w:ascii="Times New Roman" w:hAnsi="Times New Roman" w:cs="Times New Roman"/>
            <w:noProof/>
            <w:sz w:val="22"/>
            <w:szCs w:val="22"/>
          </w:rPr>
          <w:t>§ 2 : Les normes du droit communautaire dérivé</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_Toc518672783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14</w:t>
        </w:r>
        <w:r w:rsidRPr="000D1BD6">
          <w:rPr>
            <w:rFonts w:ascii="Times New Roman" w:hAnsi="Times New Roman" w:cs="Times New Roman"/>
            <w:noProof/>
            <w:webHidden/>
            <w:sz w:val="22"/>
            <w:szCs w:val="22"/>
          </w:rPr>
          <w:fldChar w:fldCharType="end"/>
        </w:r>
      </w:hyperlink>
    </w:p>
    <w:p w:rsidR="00967D28" w:rsidRPr="000D1BD6" w:rsidRDefault="007E0BA0">
      <w:pPr>
        <w:pStyle w:val="TM5"/>
        <w:tabs>
          <w:tab w:val="right" w:leader="dot" w:pos="9062"/>
        </w:tabs>
        <w:rPr>
          <w:rFonts w:ascii="Times New Roman" w:eastAsiaTheme="minorEastAsia" w:hAnsi="Times New Roman" w:cs="Times New Roman"/>
          <w:noProof/>
          <w:sz w:val="22"/>
          <w:szCs w:val="22"/>
          <w:lang w:eastAsia="fr-FR"/>
        </w:rPr>
      </w:pPr>
      <w:hyperlink w:anchor="_Toc518672784" w:history="1">
        <w:r w:rsidR="00967D28" w:rsidRPr="000D1BD6">
          <w:rPr>
            <w:rStyle w:val="Lienhypertexte"/>
            <w:rFonts w:ascii="Times New Roman" w:hAnsi="Times New Roman" w:cs="Times New Roman"/>
            <w:noProof/>
            <w:sz w:val="22"/>
            <w:szCs w:val="22"/>
          </w:rPr>
          <w:t>A.  Les normes d’application directe</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_Toc518672784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15</w:t>
        </w:r>
        <w:r w:rsidRPr="000D1BD6">
          <w:rPr>
            <w:rFonts w:ascii="Times New Roman" w:hAnsi="Times New Roman" w:cs="Times New Roman"/>
            <w:noProof/>
            <w:webHidden/>
            <w:sz w:val="22"/>
            <w:szCs w:val="22"/>
          </w:rPr>
          <w:fldChar w:fldCharType="end"/>
        </w:r>
      </w:hyperlink>
    </w:p>
    <w:p w:rsidR="00967D28" w:rsidRPr="000D1BD6" w:rsidRDefault="007E0BA0">
      <w:pPr>
        <w:pStyle w:val="TM5"/>
        <w:tabs>
          <w:tab w:val="right" w:leader="dot" w:pos="9062"/>
        </w:tabs>
        <w:rPr>
          <w:rFonts w:ascii="Times New Roman" w:eastAsiaTheme="minorEastAsia" w:hAnsi="Times New Roman" w:cs="Times New Roman"/>
          <w:noProof/>
          <w:sz w:val="22"/>
          <w:szCs w:val="22"/>
          <w:lang w:eastAsia="fr-FR"/>
        </w:rPr>
      </w:pPr>
      <w:hyperlink w:anchor="_Toc518672785" w:history="1">
        <w:r w:rsidR="00967D28" w:rsidRPr="000D1BD6">
          <w:rPr>
            <w:rStyle w:val="Lienhypertexte"/>
            <w:rFonts w:ascii="Times New Roman" w:hAnsi="Times New Roman" w:cs="Times New Roman"/>
            <w:noProof/>
            <w:sz w:val="22"/>
            <w:szCs w:val="22"/>
          </w:rPr>
          <w:t>B. Les normes d’application indirecte</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_Toc518672785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16</w:t>
        </w:r>
        <w:r w:rsidRPr="000D1BD6">
          <w:rPr>
            <w:rFonts w:ascii="Times New Roman" w:hAnsi="Times New Roman" w:cs="Times New Roman"/>
            <w:noProof/>
            <w:webHidden/>
            <w:sz w:val="22"/>
            <w:szCs w:val="22"/>
          </w:rPr>
          <w:fldChar w:fldCharType="end"/>
        </w:r>
      </w:hyperlink>
    </w:p>
    <w:p w:rsidR="00967D28" w:rsidRPr="000D1BD6" w:rsidRDefault="007E0BA0">
      <w:pPr>
        <w:pStyle w:val="TM3"/>
        <w:tabs>
          <w:tab w:val="right" w:leader="dot" w:pos="9062"/>
        </w:tabs>
        <w:rPr>
          <w:rFonts w:ascii="Times New Roman" w:eastAsiaTheme="minorEastAsia" w:hAnsi="Times New Roman" w:cs="Times New Roman"/>
          <w:noProof/>
          <w:sz w:val="22"/>
          <w:szCs w:val="22"/>
          <w:lang w:eastAsia="fr-FR"/>
        </w:rPr>
      </w:pPr>
      <w:hyperlink w:anchor="_Toc518672786" w:history="1">
        <w:r w:rsidR="00967D28" w:rsidRPr="000D1BD6">
          <w:rPr>
            <w:rStyle w:val="Lienhypertexte"/>
            <w:rFonts w:ascii="Times New Roman" w:hAnsi="Times New Roman" w:cs="Times New Roman"/>
            <w:noProof/>
            <w:sz w:val="22"/>
            <w:szCs w:val="22"/>
          </w:rPr>
          <w:t>SECTION II : LES ORGANES INTERVENANTS DANS LA MISE EN ŒUVRE DU RENVOI PREJUDICIEL</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_Toc518672786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18</w:t>
        </w:r>
        <w:r w:rsidRPr="000D1BD6">
          <w:rPr>
            <w:rFonts w:ascii="Times New Roman" w:hAnsi="Times New Roman" w:cs="Times New Roman"/>
            <w:noProof/>
            <w:webHidden/>
            <w:sz w:val="22"/>
            <w:szCs w:val="22"/>
          </w:rPr>
          <w:fldChar w:fldCharType="end"/>
        </w:r>
      </w:hyperlink>
    </w:p>
    <w:p w:rsidR="00967D28" w:rsidRPr="000D1BD6" w:rsidRDefault="007E0BA0">
      <w:pPr>
        <w:pStyle w:val="TM4"/>
        <w:tabs>
          <w:tab w:val="right" w:leader="dot" w:pos="9062"/>
        </w:tabs>
        <w:rPr>
          <w:rFonts w:ascii="Times New Roman" w:eastAsiaTheme="minorEastAsia" w:hAnsi="Times New Roman" w:cs="Times New Roman"/>
          <w:noProof/>
          <w:sz w:val="22"/>
          <w:szCs w:val="22"/>
          <w:lang w:eastAsia="fr-FR"/>
        </w:rPr>
      </w:pPr>
      <w:hyperlink w:anchor="_Toc518672787" w:history="1">
        <w:r w:rsidR="00967D28" w:rsidRPr="000D1BD6">
          <w:rPr>
            <w:rStyle w:val="Lienhypertexte"/>
            <w:rFonts w:ascii="Times New Roman" w:hAnsi="Times New Roman" w:cs="Times New Roman"/>
            <w:noProof/>
            <w:sz w:val="22"/>
            <w:szCs w:val="22"/>
          </w:rPr>
          <w:t>§ 1: La juridiction nationale</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_Toc518672787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19</w:t>
        </w:r>
        <w:r w:rsidRPr="000D1BD6">
          <w:rPr>
            <w:rFonts w:ascii="Times New Roman" w:hAnsi="Times New Roman" w:cs="Times New Roman"/>
            <w:noProof/>
            <w:webHidden/>
            <w:sz w:val="22"/>
            <w:szCs w:val="22"/>
          </w:rPr>
          <w:fldChar w:fldCharType="end"/>
        </w:r>
      </w:hyperlink>
    </w:p>
    <w:p w:rsidR="00967D28" w:rsidRPr="000D1BD6" w:rsidRDefault="007E0BA0">
      <w:pPr>
        <w:pStyle w:val="TM5"/>
        <w:tabs>
          <w:tab w:val="right" w:leader="dot" w:pos="9062"/>
        </w:tabs>
        <w:rPr>
          <w:rFonts w:ascii="Times New Roman" w:eastAsiaTheme="minorEastAsia" w:hAnsi="Times New Roman" w:cs="Times New Roman"/>
          <w:noProof/>
          <w:sz w:val="22"/>
          <w:szCs w:val="22"/>
          <w:lang w:eastAsia="fr-FR"/>
        </w:rPr>
      </w:pPr>
      <w:hyperlink w:anchor="_Toc518672788" w:history="1">
        <w:r w:rsidR="00967D28" w:rsidRPr="000D1BD6">
          <w:rPr>
            <w:rStyle w:val="Lienhypertexte"/>
            <w:rFonts w:ascii="Times New Roman" w:hAnsi="Times New Roman" w:cs="Times New Roman"/>
            <w:noProof/>
            <w:sz w:val="22"/>
            <w:szCs w:val="22"/>
          </w:rPr>
          <w:t>A.   La nature de la juridiction nationale</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_Toc518672788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19</w:t>
        </w:r>
        <w:r w:rsidRPr="000D1BD6">
          <w:rPr>
            <w:rFonts w:ascii="Times New Roman" w:hAnsi="Times New Roman" w:cs="Times New Roman"/>
            <w:noProof/>
            <w:webHidden/>
            <w:sz w:val="22"/>
            <w:szCs w:val="22"/>
          </w:rPr>
          <w:fldChar w:fldCharType="end"/>
        </w:r>
      </w:hyperlink>
    </w:p>
    <w:p w:rsidR="00967D28" w:rsidRPr="000D1BD6" w:rsidRDefault="007E0BA0">
      <w:pPr>
        <w:pStyle w:val="TM5"/>
        <w:tabs>
          <w:tab w:val="right" w:leader="dot" w:pos="9062"/>
        </w:tabs>
        <w:rPr>
          <w:rFonts w:ascii="Times New Roman" w:eastAsiaTheme="minorEastAsia" w:hAnsi="Times New Roman" w:cs="Times New Roman"/>
          <w:noProof/>
          <w:sz w:val="22"/>
          <w:szCs w:val="22"/>
          <w:lang w:eastAsia="fr-FR"/>
        </w:rPr>
      </w:pPr>
      <w:hyperlink w:anchor="_Toc518672789" w:history="1">
        <w:r w:rsidR="00967D28" w:rsidRPr="000D1BD6">
          <w:rPr>
            <w:rStyle w:val="Lienhypertexte"/>
            <w:rFonts w:ascii="Times New Roman" w:hAnsi="Times New Roman" w:cs="Times New Roman"/>
            <w:noProof/>
            <w:sz w:val="22"/>
            <w:szCs w:val="22"/>
          </w:rPr>
          <w:t>B. Le degré de la juridiction nationale</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_Toc518672789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21</w:t>
        </w:r>
        <w:r w:rsidRPr="000D1BD6">
          <w:rPr>
            <w:rFonts w:ascii="Times New Roman" w:hAnsi="Times New Roman" w:cs="Times New Roman"/>
            <w:noProof/>
            <w:webHidden/>
            <w:sz w:val="22"/>
            <w:szCs w:val="22"/>
          </w:rPr>
          <w:fldChar w:fldCharType="end"/>
        </w:r>
      </w:hyperlink>
    </w:p>
    <w:p w:rsidR="00967D28" w:rsidRPr="000D1BD6" w:rsidRDefault="007E0BA0">
      <w:pPr>
        <w:pStyle w:val="TM4"/>
        <w:tabs>
          <w:tab w:val="right" w:leader="dot" w:pos="9062"/>
        </w:tabs>
        <w:rPr>
          <w:rFonts w:ascii="Times New Roman" w:eastAsiaTheme="minorEastAsia" w:hAnsi="Times New Roman" w:cs="Times New Roman"/>
          <w:noProof/>
          <w:sz w:val="22"/>
          <w:szCs w:val="22"/>
          <w:lang w:eastAsia="fr-FR"/>
        </w:rPr>
      </w:pPr>
      <w:hyperlink w:anchor="_Toc518672790" w:history="1">
        <w:r w:rsidR="00967D28" w:rsidRPr="000D1BD6">
          <w:rPr>
            <w:rStyle w:val="Lienhypertexte"/>
            <w:rFonts w:ascii="Times New Roman" w:hAnsi="Times New Roman" w:cs="Times New Roman"/>
            <w:noProof/>
            <w:sz w:val="22"/>
            <w:szCs w:val="22"/>
          </w:rPr>
          <w:t>§ 2: La juridiction communautaire</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_Toc518672790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23</w:t>
        </w:r>
        <w:r w:rsidRPr="000D1BD6">
          <w:rPr>
            <w:rFonts w:ascii="Times New Roman" w:hAnsi="Times New Roman" w:cs="Times New Roman"/>
            <w:noProof/>
            <w:webHidden/>
            <w:sz w:val="22"/>
            <w:szCs w:val="22"/>
          </w:rPr>
          <w:fldChar w:fldCharType="end"/>
        </w:r>
      </w:hyperlink>
    </w:p>
    <w:p w:rsidR="00967D28" w:rsidRPr="000D1BD6" w:rsidRDefault="007E0BA0">
      <w:pPr>
        <w:pStyle w:val="TM5"/>
        <w:tabs>
          <w:tab w:val="right" w:leader="dot" w:pos="9062"/>
        </w:tabs>
        <w:rPr>
          <w:rFonts w:ascii="Times New Roman" w:eastAsiaTheme="minorEastAsia" w:hAnsi="Times New Roman" w:cs="Times New Roman"/>
          <w:noProof/>
          <w:sz w:val="22"/>
          <w:szCs w:val="22"/>
          <w:lang w:eastAsia="fr-FR"/>
        </w:rPr>
      </w:pPr>
      <w:hyperlink w:anchor="_Toc518672791" w:history="1">
        <w:r w:rsidR="00967D28" w:rsidRPr="000D1BD6">
          <w:rPr>
            <w:rStyle w:val="Lienhypertexte"/>
            <w:rFonts w:ascii="Times New Roman" w:hAnsi="Times New Roman" w:cs="Times New Roman"/>
            <w:noProof/>
            <w:sz w:val="22"/>
            <w:szCs w:val="22"/>
          </w:rPr>
          <w:t>A.  Le rôle de la Cour de justice en matière d’interprétation</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_Toc518672791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24</w:t>
        </w:r>
        <w:r w:rsidRPr="000D1BD6">
          <w:rPr>
            <w:rFonts w:ascii="Times New Roman" w:hAnsi="Times New Roman" w:cs="Times New Roman"/>
            <w:noProof/>
            <w:webHidden/>
            <w:sz w:val="22"/>
            <w:szCs w:val="22"/>
          </w:rPr>
          <w:fldChar w:fldCharType="end"/>
        </w:r>
      </w:hyperlink>
    </w:p>
    <w:p w:rsidR="00967D28" w:rsidRPr="000D1BD6" w:rsidRDefault="007E0BA0">
      <w:pPr>
        <w:pStyle w:val="TM5"/>
        <w:tabs>
          <w:tab w:val="right" w:leader="dot" w:pos="9062"/>
        </w:tabs>
        <w:rPr>
          <w:rFonts w:ascii="Times New Roman" w:eastAsiaTheme="minorEastAsia" w:hAnsi="Times New Roman" w:cs="Times New Roman"/>
          <w:noProof/>
          <w:sz w:val="22"/>
          <w:szCs w:val="22"/>
          <w:lang w:eastAsia="fr-FR"/>
        </w:rPr>
      </w:pPr>
      <w:hyperlink w:anchor="_Toc518672792" w:history="1">
        <w:r w:rsidR="00967D28" w:rsidRPr="000D1BD6">
          <w:rPr>
            <w:rStyle w:val="Lienhypertexte"/>
            <w:rFonts w:ascii="Times New Roman" w:hAnsi="Times New Roman" w:cs="Times New Roman"/>
            <w:noProof/>
            <w:sz w:val="22"/>
            <w:szCs w:val="22"/>
          </w:rPr>
          <w:t>B. Le rôle de la Cour de justice en matière d’appréciation de validité</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_Toc518672792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25</w:t>
        </w:r>
        <w:r w:rsidRPr="000D1BD6">
          <w:rPr>
            <w:rFonts w:ascii="Times New Roman" w:hAnsi="Times New Roman" w:cs="Times New Roman"/>
            <w:noProof/>
            <w:webHidden/>
            <w:sz w:val="22"/>
            <w:szCs w:val="22"/>
          </w:rPr>
          <w:fldChar w:fldCharType="end"/>
        </w:r>
      </w:hyperlink>
    </w:p>
    <w:p w:rsidR="00967D28" w:rsidRPr="000D1BD6" w:rsidRDefault="007E0BA0">
      <w:pPr>
        <w:pStyle w:val="TM2"/>
        <w:tabs>
          <w:tab w:val="right" w:leader="dot" w:pos="9062"/>
        </w:tabs>
        <w:rPr>
          <w:rFonts w:ascii="Times New Roman" w:eastAsiaTheme="minorEastAsia" w:hAnsi="Times New Roman" w:cs="Times New Roman"/>
          <w:b w:val="0"/>
          <w:bCs w:val="0"/>
          <w:noProof/>
          <w:lang w:eastAsia="fr-FR"/>
        </w:rPr>
      </w:pPr>
      <w:hyperlink w:anchor="_Toc518672793" w:history="1">
        <w:r w:rsidR="00967D28" w:rsidRPr="000D1BD6">
          <w:rPr>
            <w:rStyle w:val="Lienhypertexte"/>
            <w:rFonts w:ascii="Times New Roman" w:hAnsi="Times New Roman" w:cs="Times New Roman"/>
            <w:noProof/>
          </w:rPr>
          <w:t>CHAPITRE II : L’INSTANCE PREJUDICIELLE</w:t>
        </w:r>
        <w:r w:rsidR="00967D28" w:rsidRPr="000D1BD6">
          <w:rPr>
            <w:rFonts w:ascii="Times New Roman" w:hAnsi="Times New Roman" w:cs="Times New Roman"/>
            <w:noProof/>
            <w:webHidden/>
          </w:rPr>
          <w:tab/>
        </w:r>
        <w:r w:rsidRPr="000D1BD6">
          <w:rPr>
            <w:rFonts w:ascii="Times New Roman" w:hAnsi="Times New Roman" w:cs="Times New Roman"/>
            <w:noProof/>
            <w:webHidden/>
          </w:rPr>
          <w:fldChar w:fldCharType="begin"/>
        </w:r>
        <w:r w:rsidR="00967D28" w:rsidRPr="000D1BD6">
          <w:rPr>
            <w:rFonts w:ascii="Times New Roman" w:hAnsi="Times New Roman" w:cs="Times New Roman"/>
            <w:noProof/>
            <w:webHidden/>
          </w:rPr>
          <w:instrText xml:space="preserve"> PAGEREF _Toc518672793 \h </w:instrText>
        </w:r>
        <w:r w:rsidRPr="000D1BD6">
          <w:rPr>
            <w:rFonts w:ascii="Times New Roman" w:hAnsi="Times New Roman" w:cs="Times New Roman"/>
            <w:noProof/>
            <w:webHidden/>
          </w:rPr>
        </w:r>
        <w:r w:rsidRPr="000D1BD6">
          <w:rPr>
            <w:rFonts w:ascii="Times New Roman" w:hAnsi="Times New Roman" w:cs="Times New Roman"/>
            <w:noProof/>
            <w:webHidden/>
          </w:rPr>
          <w:fldChar w:fldCharType="separate"/>
        </w:r>
        <w:r w:rsidR="00002397">
          <w:rPr>
            <w:rFonts w:ascii="Times New Roman" w:hAnsi="Times New Roman" w:cs="Times New Roman"/>
            <w:noProof/>
            <w:webHidden/>
          </w:rPr>
          <w:t>28</w:t>
        </w:r>
        <w:r w:rsidRPr="000D1BD6">
          <w:rPr>
            <w:rFonts w:ascii="Times New Roman" w:hAnsi="Times New Roman" w:cs="Times New Roman"/>
            <w:noProof/>
            <w:webHidden/>
          </w:rPr>
          <w:fldChar w:fldCharType="end"/>
        </w:r>
      </w:hyperlink>
    </w:p>
    <w:p w:rsidR="00967D28" w:rsidRPr="000D1BD6" w:rsidRDefault="007E0BA0">
      <w:pPr>
        <w:pStyle w:val="TM3"/>
        <w:tabs>
          <w:tab w:val="right" w:leader="dot" w:pos="9062"/>
        </w:tabs>
        <w:rPr>
          <w:rFonts w:ascii="Times New Roman" w:eastAsiaTheme="minorEastAsia" w:hAnsi="Times New Roman" w:cs="Times New Roman"/>
          <w:noProof/>
          <w:sz w:val="22"/>
          <w:szCs w:val="22"/>
          <w:lang w:eastAsia="fr-FR"/>
        </w:rPr>
      </w:pPr>
      <w:hyperlink w:anchor="_Toc518672794" w:history="1">
        <w:r w:rsidR="00967D28" w:rsidRPr="000D1BD6">
          <w:rPr>
            <w:rStyle w:val="Lienhypertexte"/>
            <w:rFonts w:ascii="Times New Roman" w:hAnsi="Times New Roman" w:cs="Times New Roman"/>
            <w:noProof/>
            <w:sz w:val="22"/>
            <w:szCs w:val="22"/>
          </w:rPr>
          <w:t>SECTION I : LES CONDITIONS DE DECLENCHEMENT DE L’INSTANCE PREJUDICIELLE</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_Toc518672794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28</w:t>
        </w:r>
        <w:r w:rsidRPr="000D1BD6">
          <w:rPr>
            <w:rFonts w:ascii="Times New Roman" w:hAnsi="Times New Roman" w:cs="Times New Roman"/>
            <w:noProof/>
            <w:webHidden/>
            <w:sz w:val="22"/>
            <w:szCs w:val="22"/>
          </w:rPr>
          <w:fldChar w:fldCharType="end"/>
        </w:r>
      </w:hyperlink>
    </w:p>
    <w:p w:rsidR="00967D28" w:rsidRPr="000D1BD6" w:rsidRDefault="007E0BA0">
      <w:pPr>
        <w:pStyle w:val="TM4"/>
        <w:tabs>
          <w:tab w:val="right" w:leader="dot" w:pos="9062"/>
        </w:tabs>
        <w:rPr>
          <w:rFonts w:ascii="Times New Roman" w:eastAsiaTheme="minorEastAsia" w:hAnsi="Times New Roman" w:cs="Times New Roman"/>
          <w:noProof/>
          <w:sz w:val="22"/>
          <w:szCs w:val="22"/>
          <w:lang w:eastAsia="fr-FR"/>
        </w:rPr>
      </w:pPr>
      <w:hyperlink w:anchor="_Toc518672795" w:history="1">
        <w:r w:rsidR="00967D28" w:rsidRPr="000D1BD6">
          <w:rPr>
            <w:rStyle w:val="Lienhypertexte"/>
            <w:rFonts w:ascii="Times New Roman" w:hAnsi="Times New Roman" w:cs="Times New Roman"/>
            <w:noProof/>
            <w:sz w:val="22"/>
            <w:szCs w:val="22"/>
          </w:rPr>
          <w:t>§ 1 : Les conditions relatives à la juridiction nationale</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_Toc518672795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28</w:t>
        </w:r>
        <w:r w:rsidRPr="000D1BD6">
          <w:rPr>
            <w:rFonts w:ascii="Times New Roman" w:hAnsi="Times New Roman" w:cs="Times New Roman"/>
            <w:noProof/>
            <w:webHidden/>
            <w:sz w:val="22"/>
            <w:szCs w:val="22"/>
          </w:rPr>
          <w:fldChar w:fldCharType="end"/>
        </w:r>
      </w:hyperlink>
    </w:p>
    <w:p w:rsidR="00967D28" w:rsidRPr="000D1BD6" w:rsidRDefault="007E0BA0">
      <w:pPr>
        <w:pStyle w:val="TM5"/>
        <w:tabs>
          <w:tab w:val="right" w:leader="dot" w:pos="9062"/>
        </w:tabs>
        <w:rPr>
          <w:rFonts w:ascii="Times New Roman" w:eastAsiaTheme="minorEastAsia" w:hAnsi="Times New Roman" w:cs="Times New Roman"/>
          <w:noProof/>
          <w:sz w:val="22"/>
          <w:szCs w:val="22"/>
          <w:lang w:eastAsia="fr-FR"/>
        </w:rPr>
      </w:pPr>
      <w:hyperlink w:anchor="_Toc518672796" w:history="1">
        <w:r w:rsidR="00967D28" w:rsidRPr="000D1BD6">
          <w:rPr>
            <w:rStyle w:val="Lienhypertexte"/>
            <w:rFonts w:ascii="Times New Roman" w:hAnsi="Times New Roman" w:cs="Times New Roman"/>
            <w:noProof/>
            <w:sz w:val="22"/>
            <w:szCs w:val="22"/>
          </w:rPr>
          <w:t>A. Les conditions de fond en matière préjudicielle</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_Toc518672796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28</w:t>
        </w:r>
        <w:r w:rsidRPr="000D1BD6">
          <w:rPr>
            <w:rFonts w:ascii="Times New Roman" w:hAnsi="Times New Roman" w:cs="Times New Roman"/>
            <w:noProof/>
            <w:webHidden/>
            <w:sz w:val="22"/>
            <w:szCs w:val="22"/>
          </w:rPr>
          <w:fldChar w:fldCharType="end"/>
        </w:r>
      </w:hyperlink>
    </w:p>
    <w:p w:rsidR="00967D28" w:rsidRPr="000D1BD6" w:rsidRDefault="007E0BA0">
      <w:pPr>
        <w:pStyle w:val="TM5"/>
        <w:tabs>
          <w:tab w:val="right" w:leader="dot" w:pos="9062"/>
        </w:tabs>
        <w:rPr>
          <w:rFonts w:ascii="Times New Roman" w:eastAsiaTheme="minorEastAsia" w:hAnsi="Times New Roman" w:cs="Times New Roman"/>
          <w:noProof/>
          <w:sz w:val="22"/>
          <w:szCs w:val="22"/>
          <w:lang w:eastAsia="fr-FR"/>
        </w:rPr>
      </w:pPr>
      <w:hyperlink w:anchor="_Toc518672797" w:history="1">
        <w:r w:rsidR="00967D28" w:rsidRPr="000D1BD6">
          <w:rPr>
            <w:rStyle w:val="Lienhypertexte"/>
            <w:rFonts w:ascii="Times New Roman" w:hAnsi="Times New Roman" w:cs="Times New Roman"/>
            <w:noProof/>
            <w:sz w:val="22"/>
            <w:szCs w:val="22"/>
          </w:rPr>
          <w:t>B. Les conditions de forme en matière préjudicielle</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_Toc518672797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30</w:t>
        </w:r>
        <w:r w:rsidRPr="000D1BD6">
          <w:rPr>
            <w:rFonts w:ascii="Times New Roman" w:hAnsi="Times New Roman" w:cs="Times New Roman"/>
            <w:noProof/>
            <w:webHidden/>
            <w:sz w:val="22"/>
            <w:szCs w:val="22"/>
          </w:rPr>
          <w:fldChar w:fldCharType="end"/>
        </w:r>
      </w:hyperlink>
    </w:p>
    <w:p w:rsidR="00967D28" w:rsidRPr="000D1BD6" w:rsidRDefault="007E0BA0">
      <w:pPr>
        <w:pStyle w:val="TM4"/>
        <w:tabs>
          <w:tab w:val="right" w:leader="dot" w:pos="9062"/>
        </w:tabs>
        <w:rPr>
          <w:rFonts w:ascii="Times New Roman" w:eastAsiaTheme="minorEastAsia" w:hAnsi="Times New Roman" w:cs="Times New Roman"/>
          <w:noProof/>
          <w:sz w:val="22"/>
          <w:szCs w:val="22"/>
          <w:lang w:eastAsia="fr-FR"/>
        </w:rPr>
      </w:pPr>
      <w:hyperlink w:anchor="_Toc518672798" w:history="1">
        <w:r w:rsidR="00967D28" w:rsidRPr="000D1BD6">
          <w:rPr>
            <w:rStyle w:val="Lienhypertexte"/>
            <w:rFonts w:ascii="Times New Roman" w:hAnsi="Times New Roman" w:cs="Times New Roman"/>
            <w:noProof/>
            <w:sz w:val="22"/>
            <w:szCs w:val="22"/>
          </w:rPr>
          <w:t>§ 2 : les conditions relatives à la juridiction communautaire</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_Toc518672798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31</w:t>
        </w:r>
        <w:r w:rsidRPr="000D1BD6">
          <w:rPr>
            <w:rFonts w:ascii="Times New Roman" w:hAnsi="Times New Roman" w:cs="Times New Roman"/>
            <w:noProof/>
            <w:webHidden/>
            <w:sz w:val="22"/>
            <w:szCs w:val="22"/>
          </w:rPr>
          <w:fldChar w:fldCharType="end"/>
        </w:r>
      </w:hyperlink>
    </w:p>
    <w:p w:rsidR="00967D28" w:rsidRPr="000D1BD6" w:rsidRDefault="007E0BA0">
      <w:pPr>
        <w:pStyle w:val="TM5"/>
        <w:tabs>
          <w:tab w:val="right" w:leader="dot" w:pos="9062"/>
        </w:tabs>
        <w:rPr>
          <w:rFonts w:ascii="Times New Roman" w:eastAsiaTheme="minorEastAsia" w:hAnsi="Times New Roman" w:cs="Times New Roman"/>
          <w:noProof/>
          <w:sz w:val="22"/>
          <w:szCs w:val="22"/>
          <w:lang w:eastAsia="fr-FR"/>
        </w:rPr>
      </w:pPr>
      <w:hyperlink w:anchor="_Toc518672799" w:history="1">
        <w:r w:rsidR="00967D28" w:rsidRPr="000D1BD6">
          <w:rPr>
            <w:rStyle w:val="Lienhypertexte"/>
            <w:rFonts w:ascii="Times New Roman" w:hAnsi="Times New Roman" w:cs="Times New Roman"/>
            <w:noProof/>
            <w:sz w:val="22"/>
            <w:szCs w:val="22"/>
          </w:rPr>
          <w:t>A. L’exigence de clarté de la question</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_Toc518672799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31</w:t>
        </w:r>
        <w:r w:rsidRPr="000D1BD6">
          <w:rPr>
            <w:rFonts w:ascii="Times New Roman" w:hAnsi="Times New Roman" w:cs="Times New Roman"/>
            <w:noProof/>
            <w:webHidden/>
            <w:sz w:val="22"/>
            <w:szCs w:val="22"/>
          </w:rPr>
          <w:fldChar w:fldCharType="end"/>
        </w:r>
      </w:hyperlink>
    </w:p>
    <w:p w:rsidR="00967D28" w:rsidRPr="000D1BD6" w:rsidRDefault="007E0BA0">
      <w:pPr>
        <w:pStyle w:val="TM5"/>
        <w:tabs>
          <w:tab w:val="right" w:leader="dot" w:pos="9062"/>
        </w:tabs>
        <w:rPr>
          <w:rFonts w:ascii="Times New Roman" w:eastAsiaTheme="minorEastAsia" w:hAnsi="Times New Roman" w:cs="Times New Roman"/>
          <w:noProof/>
          <w:sz w:val="22"/>
          <w:szCs w:val="22"/>
          <w:lang w:eastAsia="fr-FR"/>
        </w:rPr>
      </w:pPr>
      <w:hyperlink w:anchor="_Toc518672800" w:history="1">
        <w:r w:rsidR="00967D28" w:rsidRPr="000D1BD6">
          <w:rPr>
            <w:rStyle w:val="Lienhypertexte"/>
            <w:rFonts w:ascii="Times New Roman" w:hAnsi="Times New Roman" w:cs="Times New Roman"/>
            <w:noProof/>
            <w:sz w:val="22"/>
            <w:szCs w:val="22"/>
          </w:rPr>
          <w:t>B. L’exigence du lien entre la question et le litige au principal</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_Toc518672800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34</w:t>
        </w:r>
        <w:r w:rsidRPr="000D1BD6">
          <w:rPr>
            <w:rFonts w:ascii="Times New Roman" w:hAnsi="Times New Roman" w:cs="Times New Roman"/>
            <w:noProof/>
            <w:webHidden/>
            <w:sz w:val="22"/>
            <w:szCs w:val="22"/>
          </w:rPr>
          <w:fldChar w:fldCharType="end"/>
        </w:r>
      </w:hyperlink>
    </w:p>
    <w:p w:rsidR="00967D28" w:rsidRPr="000D1BD6" w:rsidRDefault="007E0BA0">
      <w:pPr>
        <w:pStyle w:val="TM3"/>
        <w:tabs>
          <w:tab w:val="right" w:leader="dot" w:pos="9062"/>
        </w:tabs>
        <w:rPr>
          <w:rFonts w:ascii="Times New Roman" w:eastAsiaTheme="minorEastAsia" w:hAnsi="Times New Roman" w:cs="Times New Roman"/>
          <w:noProof/>
          <w:sz w:val="22"/>
          <w:szCs w:val="22"/>
          <w:lang w:eastAsia="fr-FR"/>
        </w:rPr>
      </w:pPr>
      <w:hyperlink w:anchor="_Toc518672801" w:history="1">
        <w:r w:rsidR="00967D28" w:rsidRPr="000D1BD6">
          <w:rPr>
            <w:rStyle w:val="Lienhypertexte"/>
            <w:rFonts w:ascii="Times New Roman" w:hAnsi="Times New Roman" w:cs="Times New Roman"/>
            <w:noProof/>
            <w:sz w:val="22"/>
            <w:szCs w:val="22"/>
          </w:rPr>
          <w:t>SECTION II : LA MISE EN ŒUVRE DE L’INSTANCE PREJUDICIELLE</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_Toc518672801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35</w:t>
        </w:r>
        <w:r w:rsidRPr="000D1BD6">
          <w:rPr>
            <w:rFonts w:ascii="Times New Roman" w:hAnsi="Times New Roman" w:cs="Times New Roman"/>
            <w:noProof/>
            <w:webHidden/>
            <w:sz w:val="22"/>
            <w:szCs w:val="22"/>
          </w:rPr>
          <w:fldChar w:fldCharType="end"/>
        </w:r>
      </w:hyperlink>
    </w:p>
    <w:p w:rsidR="00967D28" w:rsidRPr="000D1BD6" w:rsidRDefault="007E0BA0">
      <w:pPr>
        <w:pStyle w:val="TM4"/>
        <w:tabs>
          <w:tab w:val="right" w:leader="dot" w:pos="9062"/>
        </w:tabs>
        <w:rPr>
          <w:rFonts w:ascii="Times New Roman" w:eastAsiaTheme="minorEastAsia" w:hAnsi="Times New Roman" w:cs="Times New Roman"/>
          <w:noProof/>
          <w:sz w:val="22"/>
          <w:szCs w:val="22"/>
          <w:lang w:eastAsia="fr-FR"/>
        </w:rPr>
      </w:pPr>
      <w:hyperlink w:anchor="_Toc518672802" w:history="1">
        <w:r w:rsidR="00967D28" w:rsidRPr="000D1BD6">
          <w:rPr>
            <w:rStyle w:val="Lienhypertexte"/>
            <w:rFonts w:ascii="Times New Roman" w:hAnsi="Times New Roman" w:cs="Times New Roman"/>
            <w:noProof/>
            <w:sz w:val="22"/>
            <w:szCs w:val="22"/>
          </w:rPr>
          <w:t>§ 1 : Le déroulement de l’instance préjudicielle</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_Toc518672802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35</w:t>
        </w:r>
        <w:r w:rsidRPr="000D1BD6">
          <w:rPr>
            <w:rFonts w:ascii="Times New Roman" w:hAnsi="Times New Roman" w:cs="Times New Roman"/>
            <w:noProof/>
            <w:webHidden/>
            <w:sz w:val="22"/>
            <w:szCs w:val="22"/>
          </w:rPr>
          <w:fldChar w:fldCharType="end"/>
        </w:r>
      </w:hyperlink>
    </w:p>
    <w:p w:rsidR="00967D28" w:rsidRPr="000D1BD6" w:rsidRDefault="007E0BA0">
      <w:pPr>
        <w:pStyle w:val="TM5"/>
        <w:tabs>
          <w:tab w:val="right" w:leader="dot" w:pos="9062"/>
        </w:tabs>
        <w:rPr>
          <w:rFonts w:ascii="Times New Roman" w:eastAsiaTheme="minorEastAsia" w:hAnsi="Times New Roman" w:cs="Times New Roman"/>
          <w:noProof/>
          <w:sz w:val="22"/>
          <w:szCs w:val="22"/>
          <w:lang w:eastAsia="fr-FR"/>
        </w:rPr>
      </w:pPr>
      <w:hyperlink w:anchor="_Toc518672803" w:history="1">
        <w:r w:rsidR="00967D28" w:rsidRPr="000D1BD6">
          <w:rPr>
            <w:rStyle w:val="Lienhypertexte"/>
            <w:rFonts w:ascii="Times New Roman" w:hAnsi="Times New Roman" w:cs="Times New Roman"/>
            <w:noProof/>
            <w:sz w:val="22"/>
            <w:szCs w:val="22"/>
          </w:rPr>
          <w:t>A. Le déroulement de l’instance préjudicielle au niveau national</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_Toc518672803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35</w:t>
        </w:r>
        <w:r w:rsidRPr="000D1BD6">
          <w:rPr>
            <w:rFonts w:ascii="Times New Roman" w:hAnsi="Times New Roman" w:cs="Times New Roman"/>
            <w:noProof/>
            <w:webHidden/>
            <w:sz w:val="22"/>
            <w:szCs w:val="22"/>
          </w:rPr>
          <w:fldChar w:fldCharType="end"/>
        </w:r>
      </w:hyperlink>
    </w:p>
    <w:p w:rsidR="00967D28" w:rsidRPr="000D1BD6" w:rsidRDefault="007E0BA0">
      <w:pPr>
        <w:pStyle w:val="TM5"/>
        <w:tabs>
          <w:tab w:val="right" w:leader="dot" w:pos="9062"/>
        </w:tabs>
        <w:rPr>
          <w:rFonts w:ascii="Times New Roman" w:eastAsiaTheme="minorEastAsia" w:hAnsi="Times New Roman" w:cs="Times New Roman"/>
          <w:noProof/>
          <w:sz w:val="22"/>
          <w:szCs w:val="22"/>
          <w:lang w:eastAsia="fr-FR"/>
        </w:rPr>
      </w:pPr>
      <w:hyperlink w:anchor="_Toc518672804" w:history="1">
        <w:r w:rsidR="00967D28" w:rsidRPr="000D1BD6">
          <w:rPr>
            <w:rStyle w:val="Lienhypertexte"/>
            <w:rFonts w:ascii="Times New Roman" w:hAnsi="Times New Roman" w:cs="Times New Roman"/>
            <w:noProof/>
            <w:sz w:val="22"/>
            <w:szCs w:val="22"/>
          </w:rPr>
          <w:t>B. Le déroulement de l’instance préjudicielle au niveau communautaire</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_Toc518672804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37</w:t>
        </w:r>
        <w:r w:rsidRPr="000D1BD6">
          <w:rPr>
            <w:rFonts w:ascii="Times New Roman" w:hAnsi="Times New Roman" w:cs="Times New Roman"/>
            <w:noProof/>
            <w:webHidden/>
            <w:sz w:val="22"/>
            <w:szCs w:val="22"/>
          </w:rPr>
          <w:fldChar w:fldCharType="end"/>
        </w:r>
      </w:hyperlink>
    </w:p>
    <w:p w:rsidR="00967D28" w:rsidRPr="000D1BD6" w:rsidRDefault="007E0BA0">
      <w:pPr>
        <w:pStyle w:val="TM4"/>
        <w:tabs>
          <w:tab w:val="right" w:leader="dot" w:pos="9062"/>
        </w:tabs>
        <w:rPr>
          <w:rFonts w:ascii="Times New Roman" w:eastAsiaTheme="minorEastAsia" w:hAnsi="Times New Roman" w:cs="Times New Roman"/>
          <w:noProof/>
          <w:sz w:val="22"/>
          <w:szCs w:val="22"/>
          <w:lang w:eastAsia="fr-FR"/>
        </w:rPr>
      </w:pPr>
      <w:hyperlink w:anchor="_Toc518672805" w:history="1">
        <w:r w:rsidR="00967D28" w:rsidRPr="000D1BD6">
          <w:rPr>
            <w:rStyle w:val="Lienhypertexte"/>
            <w:rFonts w:ascii="Times New Roman" w:hAnsi="Times New Roman" w:cs="Times New Roman"/>
            <w:noProof/>
            <w:sz w:val="22"/>
            <w:szCs w:val="22"/>
          </w:rPr>
          <w:t>§ 2 : Les effets de l’arrêt préjudiciel</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_Toc518672805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40</w:t>
        </w:r>
        <w:r w:rsidRPr="000D1BD6">
          <w:rPr>
            <w:rFonts w:ascii="Times New Roman" w:hAnsi="Times New Roman" w:cs="Times New Roman"/>
            <w:noProof/>
            <w:webHidden/>
            <w:sz w:val="22"/>
            <w:szCs w:val="22"/>
          </w:rPr>
          <w:fldChar w:fldCharType="end"/>
        </w:r>
      </w:hyperlink>
    </w:p>
    <w:p w:rsidR="00967D28" w:rsidRPr="000D1BD6" w:rsidRDefault="007E0BA0">
      <w:pPr>
        <w:pStyle w:val="TM5"/>
        <w:tabs>
          <w:tab w:val="right" w:leader="dot" w:pos="9062"/>
        </w:tabs>
        <w:rPr>
          <w:rFonts w:ascii="Times New Roman" w:eastAsiaTheme="minorEastAsia" w:hAnsi="Times New Roman" w:cs="Times New Roman"/>
          <w:noProof/>
          <w:sz w:val="22"/>
          <w:szCs w:val="22"/>
          <w:lang w:eastAsia="fr-FR"/>
        </w:rPr>
      </w:pPr>
      <w:hyperlink w:anchor="_Toc518672806" w:history="1">
        <w:r w:rsidR="00967D28" w:rsidRPr="000D1BD6">
          <w:rPr>
            <w:rStyle w:val="Lienhypertexte"/>
            <w:rFonts w:ascii="Times New Roman" w:hAnsi="Times New Roman" w:cs="Times New Roman"/>
            <w:noProof/>
            <w:sz w:val="22"/>
            <w:szCs w:val="22"/>
          </w:rPr>
          <w:t>A. Les effets de l’arrêt en interprétation</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_Toc518672806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40</w:t>
        </w:r>
        <w:r w:rsidRPr="000D1BD6">
          <w:rPr>
            <w:rFonts w:ascii="Times New Roman" w:hAnsi="Times New Roman" w:cs="Times New Roman"/>
            <w:noProof/>
            <w:webHidden/>
            <w:sz w:val="22"/>
            <w:szCs w:val="22"/>
          </w:rPr>
          <w:fldChar w:fldCharType="end"/>
        </w:r>
      </w:hyperlink>
    </w:p>
    <w:p w:rsidR="00967D28" w:rsidRPr="000D1BD6" w:rsidRDefault="007E0BA0">
      <w:pPr>
        <w:pStyle w:val="TM5"/>
        <w:tabs>
          <w:tab w:val="right" w:leader="dot" w:pos="9062"/>
        </w:tabs>
        <w:rPr>
          <w:rFonts w:ascii="Times New Roman" w:eastAsiaTheme="minorEastAsia" w:hAnsi="Times New Roman" w:cs="Times New Roman"/>
          <w:noProof/>
          <w:sz w:val="22"/>
          <w:szCs w:val="22"/>
          <w:lang w:eastAsia="fr-FR"/>
        </w:rPr>
      </w:pPr>
      <w:hyperlink w:anchor="_Toc518672807" w:history="1">
        <w:r w:rsidR="00967D28" w:rsidRPr="000D1BD6">
          <w:rPr>
            <w:rStyle w:val="Lienhypertexte"/>
            <w:rFonts w:ascii="Times New Roman" w:hAnsi="Times New Roman" w:cs="Times New Roman"/>
            <w:noProof/>
            <w:sz w:val="22"/>
            <w:szCs w:val="22"/>
          </w:rPr>
          <w:t>B. Les effets de l’arrêt en appréciation de validité</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_Toc518672807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42</w:t>
        </w:r>
        <w:r w:rsidRPr="000D1BD6">
          <w:rPr>
            <w:rFonts w:ascii="Times New Roman" w:hAnsi="Times New Roman" w:cs="Times New Roman"/>
            <w:noProof/>
            <w:webHidden/>
            <w:sz w:val="22"/>
            <w:szCs w:val="22"/>
          </w:rPr>
          <w:fldChar w:fldCharType="end"/>
        </w:r>
      </w:hyperlink>
    </w:p>
    <w:p w:rsidR="00967D28" w:rsidRPr="000D1BD6" w:rsidRDefault="007E0BA0">
      <w:pPr>
        <w:pStyle w:val="TM1"/>
        <w:tabs>
          <w:tab w:val="right" w:leader="dot" w:pos="9062"/>
        </w:tabs>
        <w:rPr>
          <w:rFonts w:ascii="Times New Roman" w:eastAsiaTheme="minorEastAsia" w:hAnsi="Times New Roman" w:cs="Times New Roman"/>
          <w:b w:val="0"/>
          <w:bCs w:val="0"/>
          <w:i w:val="0"/>
          <w:iCs w:val="0"/>
          <w:noProof/>
          <w:sz w:val="22"/>
          <w:szCs w:val="22"/>
          <w:lang w:eastAsia="fr-FR"/>
        </w:rPr>
      </w:pPr>
      <w:hyperlink w:anchor="_Toc518672808" w:history="1">
        <w:r w:rsidR="00967D28" w:rsidRPr="000D1BD6">
          <w:rPr>
            <w:rStyle w:val="Lienhypertexte"/>
            <w:rFonts w:ascii="Times New Roman" w:hAnsi="Times New Roman" w:cs="Times New Roman"/>
            <w:noProof/>
            <w:sz w:val="22"/>
            <w:szCs w:val="22"/>
          </w:rPr>
          <w:t>CONCLUSION DU TITRE I</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_Toc518672808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44</w:t>
        </w:r>
        <w:r w:rsidRPr="000D1BD6">
          <w:rPr>
            <w:rFonts w:ascii="Times New Roman" w:hAnsi="Times New Roman" w:cs="Times New Roman"/>
            <w:noProof/>
            <w:webHidden/>
            <w:sz w:val="22"/>
            <w:szCs w:val="22"/>
          </w:rPr>
          <w:fldChar w:fldCharType="end"/>
        </w:r>
      </w:hyperlink>
    </w:p>
    <w:p w:rsidR="00967D28" w:rsidRPr="000D1BD6" w:rsidRDefault="007E0BA0">
      <w:pPr>
        <w:pStyle w:val="TM1"/>
        <w:tabs>
          <w:tab w:val="right" w:leader="dot" w:pos="9062"/>
        </w:tabs>
        <w:rPr>
          <w:rFonts w:ascii="Times New Roman" w:eastAsiaTheme="minorEastAsia" w:hAnsi="Times New Roman" w:cs="Times New Roman"/>
          <w:b w:val="0"/>
          <w:bCs w:val="0"/>
          <w:i w:val="0"/>
          <w:iCs w:val="0"/>
          <w:noProof/>
          <w:sz w:val="22"/>
          <w:szCs w:val="22"/>
          <w:lang w:eastAsia="fr-FR"/>
        </w:rPr>
      </w:pPr>
      <w:hyperlink w:anchor="_Toc518672809" w:history="1">
        <w:r w:rsidR="00967D28" w:rsidRPr="000D1BD6">
          <w:rPr>
            <w:rStyle w:val="Lienhypertexte"/>
            <w:rFonts w:ascii="Times New Roman" w:hAnsi="Times New Roman" w:cs="Times New Roman"/>
            <w:noProof/>
            <w:sz w:val="22"/>
            <w:szCs w:val="22"/>
          </w:rPr>
          <w:t>TITRE II : UN RENVOI PRATIQUEMENT INEXPLOITE</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_Toc518672809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45</w:t>
        </w:r>
        <w:r w:rsidRPr="000D1BD6">
          <w:rPr>
            <w:rFonts w:ascii="Times New Roman" w:hAnsi="Times New Roman" w:cs="Times New Roman"/>
            <w:noProof/>
            <w:webHidden/>
            <w:sz w:val="22"/>
            <w:szCs w:val="22"/>
          </w:rPr>
          <w:fldChar w:fldCharType="end"/>
        </w:r>
      </w:hyperlink>
    </w:p>
    <w:p w:rsidR="00967D28" w:rsidRPr="000D1BD6" w:rsidRDefault="007E0BA0">
      <w:pPr>
        <w:pStyle w:val="TM2"/>
        <w:tabs>
          <w:tab w:val="right" w:leader="dot" w:pos="9062"/>
        </w:tabs>
        <w:rPr>
          <w:rFonts w:ascii="Times New Roman" w:eastAsiaTheme="minorEastAsia" w:hAnsi="Times New Roman" w:cs="Times New Roman"/>
          <w:b w:val="0"/>
          <w:bCs w:val="0"/>
          <w:noProof/>
          <w:lang w:eastAsia="fr-FR"/>
        </w:rPr>
      </w:pPr>
      <w:hyperlink w:anchor="_Toc518672810" w:history="1">
        <w:r w:rsidR="00967D28" w:rsidRPr="000D1BD6">
          <w:rPr>
            <w:rStyle w:val="Lienhypertexte"/>
            <w:rFonts w:ascii="Times New Roman" w:hAnsi="Times New Roman" w:cs="Times New Roman"/>
            <w:noProof/>
          </w:rPr>
          <w:t>CHAPITRE I : LES ENTRAVES PROCEDURALES EMPECHANT LE RECOURS AU RENVOI PREJUDICIEL</w:t>
        </w:r>
        <w:r w:rsidR="00967D28" w:rsidRPr="000D1BD6">
          <w:rPr>
            <w:rFonts w:ascii="Times New Roman" w:hAnsi="Times New Roman" w:cs="Times New Roman"/>
            <w:noProof/>
            <w:webHidden/>
          </w:rPr>
          <w:tab/>
        </w:r>
        <w:r w:rsidRPr="000D1BD6">
          <w:rPr>
            <w:rFonts w:ascii="Times New Roman" w:hAnsi="Times New Roman" w:cs="Times New Roman"/>
            <w:noProof/>
            <w:webHidden/>
          </w:rPr>
          <w:fldChar w:fldCharType="begin"/>
        </w:r>
        <w:r w:rsidR="00967D28" w:rsidRPr="000D1BD6">
          <w:rPr>
            <w:rFonts w:ascii="Times New Roman" w:hAnsi="Times New Roman" w:cs="Times New Roman"/>
            <w:noProof/>
            <w:webHidden/>
          </w:rPr>
          <w:instrText xml:space="preserve"> PAGEREF _Toc518672810 \h </w:instrText>
        </w:r>
        <w:r w:rsidRPr="000D1BD6">
          <w:rPr>
            <w:rFonts w:ascii="Times New Roman" w:hAnsi="Times New Roman" w:cs="Times New Roman"/>
            <w:noProof/>
            <w:webHidden/>
          </w:rPr>
        </w:r>
        <w:r w:rsidRPr="000D1BD6">
          <w:rPr>
            <w:rFonts w:ascii="Times New Roman" w:hAnsi="Times New Roman" w:cs="Times New Roman"/>
            <w:noProof/>
            <w:webHidden/>
          </w:rPr>
          <w:fldChar w:fldCharType="separate"/>
        </w:r>
        <w:r w:rsidR="00002397">
          <w:rPr>
            <w:rFonts w:ascii="Times New Roman" w:hAnsi="Times New Roman" w:cs="Times New Roman"/>
            <w:noProof/>
            <w:webHidden/>
          </w:rPr>
          <w:t>46</w:t>
        </w:r>
        <w:r w:rsidRPr="000D1BD6">
          <w:rPr>
            <w:rFonts w:ascii="Times New Roman" w:hAnsi="Times New Roman" w:cs="Times New Roman"/>
            <w:noProof/>
            <w:webHidden/>
          </w:rPr>
          <w:fldChar w:fldCharType="end"/>
        </w:r>
      </w:hyperlink>
    </w:p>
    <w:p w:rsidR="00967D28" w:rsidRPr="000D1BD6" w:rsidRDefault="007E0BA0">
      <w:pPr>
        <w:pStyle w:val="TM3"/>
        <w:tabs>
          <w:tab w:val="right" w:leader="dot" w:pos="9062"/>
        </w:tabs>
        <w:rPr>
          <w:rFonts w:ascii="Times New Roman" w:eastAsiaTheme="minorEastAsia" w:hAnsi="Times New Roman" w:cs="Times New Roman"/>
          <w:noProof/>
          <w:sz w:val="22"/>
          <w:szCs w:val="22"/>
          <w:lang w:eastAsia="fr-FR"/>
        </w:rPr>
      </w:pPr>
      <w:hyperlink w:anchor="_Toc518672811" w:history="1">
        <w:r w:rsidR="00967D28" w:rsidRPr="000D1BD6">
          <w:rPr>
            <w:rStyle w:val="Lienhypertexte"/>
            <w:rFonts w:ascii="Times New Roman" w:hAnsi="Times New Roman" w:cs="Times New Roman"/>
            <w:noProof/>
            <w:sz w:val="22"/>
            <w:szCs w:val="22"/>
          </w:rPr>
          <w:t>SECTION I : LES ENTRAVES LIEES A LA JURIDICTION NATIONALE</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_Toc518672811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46</w:t>
        </w:r>
        <w:r w:rsidRPr="000D1BD6">
          <w:rPr>
            <w:rFonts w:ascii="Times New Roman" w:hAnsi="Times New Roman" w:cs="Times New Roman"/>
            <w:noProof/>
            <w:webHidden/>
            <w:sz w:val="22"/>
            <w:szCs w:val="22"/>
          </w:rPr>
          <w:fldChar w:fldCharType="end"/>
        </w:r>
      </w:hyperlink>
    </w:p>
    <w:p w:rsidR="00967D28" w:rsidRPr="000D1BD6" w:rsidRDefault="007E0BA0">
      <w:pPr>
        <w:pStyle w:val="TM4"/>
        <w:tabs>
          <w:tab w:val="right" w:leader="dot" w:pos="9062"/>
        </w:tabs>
        <w:rPr>
          <w:rFonts w:ascii="Times New Roman" w:eastAsiaTheme="minorEastAsia" w:hAnsi="Times New Roman" w:cs="Times New Roman"/>
          <w:noProof/>
          <w:sz w:val="22"/>
          <w:szCs w:val="22"/>
          <w:lang w:eastAsia="fr-FR"/>
        </w:rPr>
      </w:pPr>
      <w:hyperlink w:anchor="_Toc518672812" w:history="1">
        <w:r w:rsidR="00967D28" w:rsidRPr="000D1BD6">
          <w:rPr>
            <w:rStyle w:val="Lienhypertexte"/>
            <w:rFonts w:ascii="Times New Roman" w:hAnsi="Times New Roman" w:cs="Times New Roman"/>
            <w:noProof/>
            <w:sz w:val="22"/>
            <w:szCs w:val="22"/>
          </w:rPr>
          <w:t>§ 1 : Les difficultés procédurales en amont</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_Toc518672812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46</w:t>
        </w:r>
        <w:r w:rsidRPr="000D1BD6">
          <w:rPr>
            <w:rFonts w:ascii="Times New Roman" w:hAnsi="Times New Roman" w:cs="Times New Roman"/>
            <w:noProof/>
            <w:webHidden/>
            <w:sz w:val="22"/>
            <w:szCs w:val="22"/>
          </w:rPr>
          <w:fldChar w:fldCharType="end"/>
        </w:r>
      </w:hyperlink>
    </w:p>
    <w:p w:rsidR="00967D28" w:rsidRPr="000D1BD6" w:rsidRDefault="007E0BA0">
      <w:pPr>
        <w:pStyle w:val="TM5"/>
        <w:tabs>
          <w:tab w:val="right" w:leader="dot" w:pos="9062"/>
        </w:tabs>
        <w:rPr>
          <w:rFonts w:ascii="Times New Roman" w:eastAsiaTheme="minorEastAsia" w:hAnsi="Times New Roman" w:cs="Times New Roman"/>
          <w:noProof/>
          <w:sz w:val="22"/>
          <w:szCs w:val="22"/>
          <w:lang w:eastAsia="fr-FR"/>
        </w:rPr>
      </w:pPr>
      <w:hyperlink w:anchor="_Toc518672813" w:history="1">
        <w:r w:rsidR="00967D28" w:rsidRPr="000D1BD6">
          <w:rPr>
            <w:rStyle w:val="Lienhypertexte"/>
            <w:rFonts w:ascii="Times New Roman" w:hAnsi="Times New Roman" w:cs="Times New Roman"/>
            <w:noProof/>
            <w:sz w:val="22"/>
            <w:szCs w:val="22"/>
          </w:rPr>
          <w:t>A.  L’utilisation de la théorie de l’acte clair</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_Toc518672813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46</w:t>
        </w:r>
        <w:r w:rsidRPr="000D1BD6">
          <w:rPr>
            <w:rFonts w:ascii="Times New Roman" w:hAnsi="Times New Roman" w:cs="Times New Roman"/>
            <w:noProof/>
            <w:webHidden/>
            <w:sz w:val="22"/>
            <w:szCs w:val="22"/>
          </w:rPr>
          <w:fldChar w:fldCharType="end"/>
        </w:r>
      </w:hyperlink>
    </w:p>
    <w:p w:rsidR="00967D28" w:rsidRPr="000D1BD6" w:rsidRDefault="007E0BA0">
      <w:pPr>
        <w:pStyle w:val="TM5"/>
        <w:tabs>
          <w:tab w:val="right" w:leader="dot" w:pos="9062"/>
        </w:tabs>
        <w:rPr>
          <w:rFonts w:ascii="Times New Roman" w:eastAsiaTheme="minorEastAsia" w:hAnsi="Times New Roman" w:cs="Times New Roman"/>
          <w:noProof/>
          <w:sz w:val="22"/>
          <w:szCs w:val="22"/>
          <w:lang w:eastAsia="fr-FR"/>
        </w:rPr>
      </w:pPr>
      <w:hyperlink w:anchor="_Toc518672814" w:history="1">
        <w:r w:rsidR="00967D28" w:rsidRPr="000D1BD6">
          <w:rPr>
            <w:rStyle w:val="Lienhypertexte"/>
            <w:rFonts w:ascii="Times New Roman" w:hAnsi="Times New Roman" w:cs="Times New Roman"/>
            <w:noProof/>
            <w:sz w:val="22"/>
            <w:szCs w:val="22"/>
          </w:rPr>
          <w:t>B. L’utilisation de la règle du précédent jurisprudentiel</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_Toc518672814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49</w:t>
        </w:r>
        <w:r w:rsidRPr="000D1BD6">
          <w:rPr>
            <w:rFonts w:ascii="Times New Roman" w:hAnsi="Times New Roman" w:cs="Times New Roman"/>
            <w:noProof/>
            <w:webHidden/>
            <w:sz w:val="22"/>
            <w:szCs w:val="22"/>
          </w:rPr>
          <w:fldChar w:fldCharType="end"/>
        </w:r>
      </w:hyperlink>
    </w:p>
    <w:p w:rsidR="00967D28" w:rsidRPr="000D1BD6" w:rsidRDefault="007E0BA0">
      <w:pPr>
        <w:pStyle w:val="TM4"/>
        <w:tabs>
          <w:tab w:val="right" w:leader="dot" w:pos="9062"/>
        </w:tabs>
        <w:rPr>
          <w:rFonts w:ascii="Times New Roman" w:eastAsiaTheme="minorEastAsia" w:hAnsi="Times New Roman" w:cs="Times New Roman"/>
          <w:noProof/>
          <w:sz w:val="22"/>
          <w:szCs w:val="22"/>
          <w:lang w:eastAsia="fr-FR"/>
        </w:rPr>
      </w:pPr>
      <w:hyperlink w:anchor="_Toc518672815" w:history="1">
        <w:r w:rsidR="00967D28" w:rsidRPr="000D1BD6">
          <w:rPr>
            <w:rStyle w:val="Lienhypertexte"/>
            <w:rFonts w:ascii="Times New Roman" w:hAnsi="Times New Roman" w:cs="Times New Roman"/>
            <w:noProof/>
            <w:sz w:val="22"/>
            <w:szCs w:val="22"/>
          </w:rPr>
          <w:t>§ 2 : Les difficultés procédurales en aval</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_Toc518672815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50</w:t>
        </w:r>
        <w:r w:rsidRPr="000D1BD6">
          <w:rPr>
            <w:rFonts w:ascii="Times New Roman" w:hAnsi="Times New Roman" w:cs="Times New Roman"/>
            <w:noProof/>
            <w:webHidden/>
            <w:sz w:val="22"/>
            <w:szCs w:val="22"/>
          </w:rPr>
          <w:fldChar w:fldCharType="end"/>
        </w:r>
      </w:hyperlink>
    </w:p>
    <w:p w:rsidR="00967D28" w:rsidRPr="000D1BD6" w:rsidRDefault="007E0BA0">
      <w:pPr>
        <w:pStyle w:val="TM5"/>
        <w:tabs>
          <w:tab w:val="right" w:leader="dot" w:pos="9062"/>
        </w:tabs>
        <w:rPr>
          <w:rFonts w:ascii="Times New Roman" w:eastAsiaTheme="minorEastAsia" w:hAnsi="Times New Roman" w:cs="Times New Roman"/>
          <w:noProof/>
          <w:sz w:val="22"/>
          <w:szCs w:val="22"/>
          <w:lang w:eastAsia="fr-FR"/>
        </w:rPr>
      </w:pPr>
      <w:hyperlink w:anchor="_Toc518672816" w:history="1">
        <w:r w:rsidR="00967D28" w:rsidRPr="000D1BD6">
          <w:rPr>
            <w:rStyle w:val="Lienhypertexte"/>
            <w:rFonts w:ascii="Times New Roman" w:hAnsi="Times New Roman" w:cs="Times New Roman"/>
            <w:noProof/>
            <w:sz w:val="22"/>
            <w:szCs w:val="22"/>
          </w:rPr>
          <w:t>A. La réticence vis-à-vis de l’autorité des arrêts en interprétation</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_Toc518672816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50</w:t>
        </w:r>
        <w:r w:rsidRPr="000D1BD6">
          <w:rPr>
            <w:rFonts w:ascii="Times New Roman" w:hAnsi="Times New Roman" w:cs="Times New Roman"/>
            <w:noProof/>
            <w:webHidden/>
            <w:sz w:val="22"/>
            <w:szCs w:val="22"/>
          </w:rPr>
          <w:fldChar w:fldCharType="end"/>
        </w:r>
      </w:hyperlink>
    </w:p>
    <w:p w:rsidR="00967D28" w:rsidRPr="000D1BD6" w:rsidRDefault="007E0BA0">
      <w:pPr>
        <w:pStyle w:val="TM5"/>
        <w:tabs>
          <w:tab w:val="right" w:leader="dot" w:pos="9062"/>
        </w:tabs>
        <w:rPr>
          <w:rFonts w:ascii="Times New Roman" w:eastAsiaTheme="minorEastAsia" w:hAnsi="Times New Roman" w:cs="Times New Roman"/>
          <w:noProof/>
          <w:sz w:val="22"/>
          <w:szCs w:val="22"/>
          <w:lang w:eastAsia="fr-FR"/>
        </w:rPr>
      </w:pPr>
      <w:hyperlink w:anchor="_Toc518672817" w:history="1">
        <w:r w:rsidR="00967D28" w:rsidRPr="000D1BD6">
          <w:rPr>
            <w:rStyle w:val="Lienhypertexte"/>
            <w:rFonts w:ascii="Times New Roman" w:hAnsi="Times New Roman" w:cs="Times New Roman"/>
            <w:noProof/>
            <w:sz w:val="22"/>
            <w:szCs w:val="22"/>
          </w:rPr>
          <w:t>B. La réticence vis-à-vis de l’autorité des arrêts en appréciation de la validité</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_Toc518672817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51</w:t>
        </w:r>
        <w:r w:rsidRPr="000D1BD6">
          <w:rPr>
            <w:rFonts w:ascii="Times New Roman" w:hAnsi="Times New Roman" w:cs="Times New Roman"/>
            <w:noProof/>
            <w:webHidden/>
            <w:sz w:val="22"/>
            <w:szCs w:val="22"/>
          </w:rPr>
          <w:fldChar w:fldCharType="end"/>
        </w:r>
      </w:hyperlink>
    </w:p>
    <w:p w:rsidR="00967D28" w:rsidRPr="000D1BD6" w:rsidRDefault="007E0BA0">
      <w:pPr>
        <w:pStyle w:val="TM3"/>
        <w:tabs>
          <w:tab w:val="right" w:leader="dot" w:pos="9062"/>
        </w:tabs>
        <w:rPr>
          <w:rFonts w:ascii="Times New Roman" w:eastAsiaTheme="minorEastAsia" w:hAnsi="Times New Roman" w:cs="Times New Roman"/>
          <w:noProof/>
          <w:sz w:val="22"/>
          <w:szCs w:val="22"/>
          <w:lang w:eastAsia="fr-FR"/>
        </w:rPr>
      </w:pPr>
      <w:hyperlink w:anchor="_Toc518672818" w:history="1">
        <w:r w:rsidR="00967D28" w:rsidRPr="000D1BD6">
          <w:rPr>
            <w:rStyle w:val="Lienhypertexte"/>
            <w:rFonts w:ascii="Times New Roman" w:hAnsi="Times New Roman" w:cs="Times New Roman"/>
            <w:noProof/>
            <w:sz w:val="22"/>
            <w:szCs w:val="22"/>
          </w:rPr>
          <w:t>SECTION II : LES DIFFICULTES LIEES A LA JURIDICTION COMMUNAUTAIRE</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_Toc518672818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53</w:t>
        </w:r>
        <w:r w:rsidRPr="000D1BD6">
          <w:rPr>
            <w:rFonts w:ascii="Times New Roman" w:hAnsi="Times New Roman" w:cs="Times New Roman"/>
            <w:noProof/>
            <w:webHidden/>
            <w:sz w:val="22"/>
            <w:szCs w:val="22"/>
          </w:rPr>
          <w:fldChar w:fldCharType="end"/>
        </w:r>
      </w:hyperlink>
    </w:p>
    <w:p w:rsidR="00967D28" w:rsidRPr="000D1BD6" w:rsidRDefault="007E0BA0">
      <w:pPr>
        <w:pStyle w:val="TM4"/>
        <w:tabs>
          <w:tab w:val="right" w:leader="dot" w:pos="9062"/>
        </w:tabs>
        <w:rPr>
          <w:rFonts w:ascii="Times New Roman" w:eastAsiaTheme="minorEastAsia" w:hAnsi="Times New Roman" w:cs="Times New Roman"/>
          <w:noProof/>
          <w:sz w:val="22"/>
          <w:szCs w:val="22"/>
          <w:lang w:eastAsia="fr-FR"/>
        </w:rPr>
      </w:pPr>
      <w:hyperlink w:anchor="_Toc518672819" w:history="1">
        <w:r w:rsidR="00967D28" w:rsidRPr="000D1BD6">
          <w:rPr>
            <w:rStyle w:val="Lienhypertexte"/>
            <w:rFonts w:ascii="Times New Roman" w:hAnsi="Times New Roman" w:cs="Times New Roman"/>
            <w:noProof/>
            <w:sz w:val="22"/>
            <w:szCs w:val="22"/>
          </w:rPr>
          <w:t>§ 1 : Les difficultés tenant à la volonté de la juridiction de renvoi</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_Toc518672819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53</w:t>
        </w:r>
        <w:r w:rsidRPr="000D1BD6">
          <w:rPr>
            <w:rFonts w:ascii="Times New Roman" w:hAnsi="Times New Roman" w:cs="Times New Roman"/>
            <w:noProof/>
            <w:webHidden/>
            <w:sz w:val="22"/>
            <w:szCs w:val="22"/>
          </w:rPr>
          <w:fldChar w:fldCharType="end"/>
        </w:r>
      </w:hyperlink>
    </w:p>
    <w:p w:rsidR="00967D28" w:rsidRPr="000D1BD6" w:rsidRDefault="007E0BA0">
      <w:pPr>
        <w:pStyle w:val="TM5"/>
        <w:tabs>
          <w:tab w:val="right" w:leader="dot" w:pos="9062"/>
        </w:tabs>
        <w:rPr>
          <w:rFonts w:ascii="Times New Roman" w:eastAsiaTheme="minorEastAsia" w:hAnsi="Times New Roman" w:cs="Times New Roman"/>
          <w:noProof/>
          <w:sz w:val="22"/>
          <w:szCs w:val="22"/>
          <w:lang w:eastAsia="fr-FR"/>
        </w:rPr>
      </w:pPr>
      <w:hyperlink w:anchor="_Toc518672820" w:history="1">
        <w:r w:rsidR="00967D28" w:rsidRPr="000D1BD6">
          <w:rPr>
            <w:rStyle w:val="Lienhypertexte"/>
            <w:rFonts w:ascii="Times New Roman" w:hAnsi="Times New Roman" w:cs="Times New Roman"/>
            <w:noProof/>
            <w:sz w:val="22"/>
            <w:szCs w:val="22"/>
          </w:rPr>
          <w:t>A. Le retrait tardif de la demande préjudicielle</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_Toc518672820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53</w:t>
        </w:r>
        <w:r w:rsidRPr="000D1BD6">
          <w:rPr>
            <w:rFonts w:ascii="Times New Roman" w:hAnsi="Times New Roman" w:cs="Times New Roman"/>
            <w:noProof/>
            <w:webHidden/>
            <w:sz w:val="22"/>
            <w:szCs w:val="22"/>
          </w:rPr>
          <w:fldChar w:fldCharType="end"/>
        </w:r>
      </w:hyperlink>
    </w:p>
    <w:p w:rsidR="00967D28" w:rsidRPr="000D1BD6" w:rsidRDefault="007E0BA0">
      <w:pPr>
        <w:pStyle w:val="TM5"/>
        <w:tabs>
          <w:tab w:val="right" w:leader="dot" w:pos="9062"/>
        </w:tabs>
        <w:rPr>
          <w:rFonts w:ascii="Times New Roman" w:eastAsiaTheme="minorEastAsia" w:hAnsi="Times New Roman" w:cs="Times New Roman"/>
          <w:noProof/>
          <w:sz w:val="22"/>
          <w:szCs w:val="22"/>
          <w:lang w:eastAsia="fr-FR"/>
        </w:rPr>
      </w:pPr>
      <w:hyperlink w:anchor="_Toc518672821" w:history="1">
        <w:r w:rsidR="00967D28" w:rsidRPr="000D1BD6">
          <w:rPr>
            <w:rStyle w:val="Lienhypertexte"/>
            <w:rFonts w:ascii="Times New Roman" w:hAnsi="Times New Roman" w:cs="Times New Roman"/>
            <w:noProof/>
            <w:sz w:val="22"/>
            <w:szCs w:val="22"/>
          </w:rPr>
          <w:t>B. L’incidence du retrait tardif de la demande préjudicielle</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_Toc518672821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55</w:t>
        </w:r>
        <w:r w:rsidRPr="000D1BD6">
          <w:rPr>
            <w:rFonts w:ascii="Times New Roman" w:hAnsi="Times New Roman" w:cs="Times New Roman"/>
            <w:noProof/>
            <w:webHidden/>
            <w:sz w:val="22"/>
            <w:szCs w:val="22"/>
          </w:rPr>
          <w:fldChar w:fldCharType="end"/>
        </w:r>
      </w:hyperlink>
    </w:p>
    <w:p w:rsidR="00967D28" w:rsidRPr="000D1BD6" w:rsidRDefault="007E0BA0">
      <w:pPr>
        <w:pStyle w:val="TM4"/>
        <w:tabs>
          <w:tab w:val="right" w:leader="dot" w:pos="9062"/>
        </w:tabs>
        <w:rPr>
          <w:rFonts w:ascii="Times New Roman" w:eastAsiaTheme="minorEastAsia" w:hAnsi="Times New Roman" w:cs="Times New Roman"/>
          <w:noProof/>
          <w:sz w:val="22"/>
          <w:szCs w:val="22"/>
          <w:lang w:eastAsia="fr-FR"/>
        </w:rPr>
      </w:pPr>
      <w:hyperlink w:anchor="_Toc518672822" w:history="1">
        <w:r w:rsidR="00967D28" w:rsidRPr="000D1BD6">
          <w:rPr>
            <w:rStyle w:val="Lienhypertexte"/>
            <w:rFonts w:ascii="Times New Roman" w:hAnsi="Times New Roman" w:cs="Times New Roman"/>
            <w:noProof/>
            <w:sz w:val="22"/>
            <w:szCs w:val="22"/>
          </w:rPr>
          <w:t>§ 2: Les difficultés tenant à la volonté du juge communautaire</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_Toc518672822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57</w:t>
        </w:r>
        <w:r w:rsidRPr="000D1BD6">
          <w:rPr>
            <w:rFonts w:ascii="Times New Roman" w:hAnsi="Times New Roman" w:cs="Times New Roman"/>
            <w:noProof/>
            <w:webHidden/>
            <w:sz w:val="22"/>
            <w:szCs w:val="22"/>
          </w:rPr>
          <w:fldChar w:fldCharType="end"/>
        </w:r>
      </w:hyperlink>
    </w:p>
    <w:p w:rsidR="00967D28" w:rsidRPr="000D1BD6" w:rsidRDefault="007E0BA0">
      <w:pPr>
        <w:pStyle w:val="TM5"/>
        <w:tabs>
          <w:tab w:val="right" w:leader="dot" w:pos="9062"/>
        </w:tabs>
        <w:rPr>
          <w:rFonts w:ascii="Times New Roman" w:eastAsiaTheme="minorEastAsia" w:hAnsi="Times New Roman" w:cs="Times New Roman"/>
          <w:noProof/>
          <w:sz w:val="22"/>
          <w:szCs w:val="22"/>
          <w:lang w:eastAsia="fr-FR"/>
        </w:rPr>
      </w:pPr>
      <w:hyperlink w:anchor="_Toc518672823" w:history="1">
        <w:r w:rsidR="00967D28" w:rsidRPr="000D1BD6">
          <w:rPr>
            <w:rStyle w:val="Lienhypertexte"/>
            <w:rFonts w:ascii="Times New Roman" w:hAnsi="Times New Roman" w:cs="Times New Roman"/>
            <w:noProof/>
            <w:sz w:val="22"/>
            <w:szCs w:val="22"/>
          </w:rPr>
          <w:t>A. La reformulation de la question</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_Toc518672823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57</w:t>
        </w:r>
        <w:r w:rsidRPr="000D1BD6">
          <w:rPr>
            <w:rFonts w:ascii="Times New Roman" w:hAnsi="Times New Roman" w:cs="Times New Roman"/>
            <w:noProof/>
            <w:webHidden/>
            <w:sz w:val="22"/>
            <w:szCs w:val="22"/>
          </w:rPr>
          <w:fldChar w:fldCharType="end"/>
        </w:r>
      </w:hyperlink>
    </w:p>
    <w:p w:rsidR="00967D28" w:rsidRPr="000D1BD6" w:rsidRDefault="007E0BA0">
      <w:pPr>
        <w:pStyle w:val="TM5"/>
        <w:tabs>
          <w:tab w:val="right" w:leader="dot" w:pos="9062"/>
        </w:tabs>
        <w:rPr>
          <w:rFonts w:ascii="Times New Roman" w:eastAsiaTheme="minorEastAsia" w:hAnsi="Times New Roman" w:cs="Times New Roman"/>
          <w:noProof/>
          <w:sz w:val="22"/>
          <w:szCs w:val="22"/>
          <w:lang w:eastAsia="fr-FR"/>
        </w:rPr>
      </w:pPr>
      <w:hyperlink w:anchor="_Toc518672824" w:history="1">
        <w:r w:rsidR="00967D28" w:rsidRPr="000D1BD6">
          <w:rPr>
            <w:rStyle w:val="Lienhypertexte"/>
            <w:rFonts w:ascii="Times New Roman" w:hAnsi="Times New Roman" w:cs="Times New Roman"/>
            <w:noProof/>
            <w:sz w:val="22"/>
            <w:szCs w:val="22"/>
          </w:rPr>
          <w:t>B. Le choix de la question à laquelle répondre</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_Toc518672824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59</w:t>
        </w:r>
        <w:r w:rsidRPr="000D1BD6">
          <w:rPr>
            <w:rFonts w:ascii="Times New Roman" w:hAnsi="Times New Roman" w:cs="Times New Roman"/>
            <w:noProof/>
            <w:webHidden/>
            <w:sz w:val="22"/>
            <w:szCs w:val="22"/>
          </w:rPr>
          <w:fldChar w:fldCharType="end"/>
        </w:r>
      </w:hyperlink>
    </w:p>
    <w:p w:rsidR="00967D28" w:rsidRPr="000D1BD6" w:rsidRDefault="007E0BA0">
      <w:pPr>
        <w:pStyle w:val="TM2"/>
        <w:tabs>
          <w:tab w:val="right" w:leader="dot" w:pos="9062"/>
        </w:tabs>
        <w:rPr>
          <w:rFonts w:ascii="Times New Roman" w:eastAsiaTheme="minorEastAsia" w:hAnsi="Times New Roman" w:cs="Times New Roman"/>
          <w:b w:val="0"/>
          <w:bCs w:val="0"/>
          <w:noProof/>
          <w:lang w:eastAsia="fr-FR"/>
        </w:rPr>
      </w:pPr>
      <w:hyperlink w:anchor="_Toc518672825" w:history="1">
        <w:r w:rsidR="00967D28" w:rsidRPr="000D1BD6">
          <w:rPr>
            <w:rStyle w:val="Lienhypertexte"/>
            <w:rFonts w:ascii="Times New Roman" w:hAnsi="Times New Roman" w:cs="Times New Roman"/>
            <w:noProof/>
          </w:rPr>
          <w:t>CHAPITRE II : LES ENTRAVES MATERIELLES EMPECHANT LE RECOURS AU RENVOI PREJUDICIEL</w:t>
        </w:r>
        <w:r w:rsidR="00967D28" w:rsidRPr="000D1BD6">
          <w:rPr>
            <w:rFonts w:ascii="Times New Roman" w:hAnsi="Times New Roman" w:cs="Times New Roman"/>
            <w:noProof/>
            <w:webHidden/>
          </w:rPr>
          <w:tab/>
        </w:r>
        <w:r w:rsidRPr="000D1BD6">
          <w:rPr>
            <w:rFonts w:ascii="Times New Roman" w:hAnsi="Times New Roman" w:cs="Times New Roman"/>
            <w:noProof/>
            <w:webHidden/>
          </w:rPr>
          <w:fldChar w:fldCharType="begin"/>
        </w:r>
        <w:r w:rsidR="00967D28" w:rsidRPr="000D1BD6">
          <w:rPr>
            <w:rFonts w:ascii="Times New Roman" w:hAnsi="Times New Roman" w:cs="Times New Roman"/>
            <w:noProof/>
            <w:webHidden/>
          </w:rPr>
          <w:instrText xml:space="preserve"> PAGEREF _Toc518672825 \h </w:instrText>
        </w:r>
        <w:r w:rsidRPr="000D1BD6">
          <w:rPr>
            <w:rFonts w:ascii="Times New Roman" w:hAnsi="Times New Roman" w:cs="Times New Roman"/>
            <w:noProof/>
            <w:webHidden/>
          </w:rPr>
        </w:r>
        <w:r w:rsidRPr="000D1BD6">
          <w:rPr>
            <w:rFonts w:ascii="Times New Roman" w:hAnsi="Times New Roman" w:cs="Times New Roman"/>
            <w:noProof/>
            <w:webHidden/>
          </w:rPr>
          <w:fldChar w:fldCharType="separate"/>
        </w:r>
        <w:r w:rsidR="00002397">
          <w:rPr>
            <w:rFonts w:ascii="Times New Roman" w:hAnsi="Times New Roman" w:cs="Times New Roman"/>
            <w:noProof/>
            <w:webHidden/>
          </w:rPr>
          <w:t>61</w:t>
        </w:r>
        <w:r w:rsidRPr="000D1BD6">
          <w:rPr>
            <w:rFonts w:ascii="Times New Roman" w:hAnsi="Times New Roman" w:cs="Times New Roman"/>
            <w:noProof/>
            <w:webHidden/>
          </w:rPr>
          <w:fldChar w:fldCharType="end"/>
        </w:r>
      </w:hyperlink>
    </w:p>
    <w:p w:rsidR="00967D28" w:rsidRPr="000D1BD6" w:rsidRDefault="007E0BA0">
      <w:pPr>
        <w:pStyle w:val="TM3"/>
        <w:tabs>
          <w:tab w:val="right" w:leader="dot" w:pos="9062"/>
        </w:tabs>
        <w:rPr>
          <w:rFonts w:ascii="Times New Roman" w:eastAsiaTheme="minorEastAsia" w:hAnsi="Times New Roman" w:cs="Times New Roman"/>
          <w:noProof/>
          <w:sz w:val="22"/>
          <w:szCs w:val="22"/>
          <w:lang w:eastAsia="fr-FR"/>
        </w:rPr>
      </w:pPr>
      <w:hyperlink w:anchor="_Toc518672826" w:history="1">
        <w:r w:rsidR="00967D28" w:rsidRPr="000D1BD6">
          <w:rPr>
            <w:rStyle w:val="Lienhypertexte"/>
            <w:rFonts w:ascii="Times New Roman" w:hAnsi="Times New Roman" w:cs="Times New Roman"/>
            <w:noProof/>
            <w:sz w:val="22"/>
            <w:szCs w:val="22"/>
          </w:rPr>
          <w:t>SECTION I : LA TENACITE DES JURIDICTIONS NATIONALES</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_Toc518672826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61</w:t>
        </w:r>
        <w:r w:rsidRPr="000D1BD6">
          <w:rPr>
            <w:rFonts w:ascii="Times New Roman" w:hAnsi="Times New Roman" w:cs="Times New Roman"/>
            <w:noProof/>
            <w:webHidden/>
            <w:sz w:val="22"/>
            <w:szCs w:val="22"/>
          </w:rPr>
          <w:fldChar w:fldCharType="end"/>
        </w:r>
      </w:hyperlink>
    </w:p>
    <w:p w:rsidR="00967D28" w:rsidRPr="000D1BD6" w:rsidRDefault="007E0BA0">
      <w:pPr>
        <w:pStyle w:val="TM4"/>
        <w:tabs>
          <w:tab w:val="right" w:leader="dot" w:pos="9062"/>
        </w:tabs>
        <w:rPr>
          <w:rFonts w:ascii="Times New Roman" w:eastAsiaTheme="minorEastAsia" w:hAnsi="Times New Roman" w:cs="Times New Roman"/>
          <w:noProof/>
          <w:sz w:val="22"/>
          <w:szCs w:val="22"/>
          <w:lang w:eastAsia="fr-FR"/>
        </w:rPr>
      </w:pPr>
      <w:hyperlink w:anchor="_Toc518672827" w:history="1">
        <w:r w:rsidR="00967D28" w:rsidRPr="000D1BD6">
          <w:rPr>
            <w:rStyle w:val="Lienhypertexte"/>
            <w:rFonts w:ascii="Times New Roman" w:hAnsi="Times New Roman" w:cs="Times New Roman"/>
            <w:noProof/>
            <w:sz w:val="22"/>
            <w:szCs w:val="22"/>
          </w:rPr>
          <w:t>§ 1: L’ignorance du droit CEDEAO par les juges nationaux</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_Toc518672827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61</w:t>
        </w:r>
        <w:r w:rsidRPr="000D1BD6">
          <w:rPr>
            <w:rFonts w:ascii="Times New Roman" w:hAnsi="Times New Roman" w:cs="Times New Roman"/>
            <w:noProof/>
            <w:webHidden/>
            <w:sz w:val="22"/>
            <w:szCs w:val="22"/>
          </w:rPr>
          <w:fldChar w:fldCharType="end"/>
        </w:r>
      </w:hyperlink>
    </w:p>
    <w:p w:rsidR="00967D28" w:rsidRPr="000D1BD6" w:rsidRDefault="007E0BA0">
      <w:pPr>
        <w:pStyle w:val="TM5"/>
        <w:tabs>
          <w:tab w:val="right" w:leader="dot" w:pos="9062"/>
        </w:tabs>
        <w:rPr>
          <w:rFonts w:ascii="Times New Roman" w:eastAsiaTheme="minorEastAsia" w:hAnsi="Times New Roman" w:cs="Times New Roman"/>
          <w:noProof/>
          <w:sz w:val="22"/>
          <w:szCs w:val="22"/>
          <w:lang w:eastAsia="fr-FR"/>
        </w:rPr>
      </w:pPr>
      <w:hyperlink w:anchor="_Toc518672828" w:history="1">
        <w:r w:rsidR="00967D28" w:rsidRPr="000D1BD6">
          <w:rPr>
            <w:rStyle w:val="Lienhypertexte"/>
            <w:rFonts w:ascii="Times New Roman" w:hAnsi="Times New Roman" w:cs="Times New Roman"/>
            <w:noProof/>
            <w:sz w:val="22"/>
            <w:szCs w:val="22"/>
          </w:rPr>
          <w:t>A. Un droit émergent</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_Toc518672828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61</w:t>
        </w:r>
        <w:r w:rsidRPr="000D1BD6">
          <w:rPr>
            <w:rFonts w:ascii="Times New Roman" w:hAnsi="Times New Roman" w:cs="Times New Roman"/>
            <w:noProof/>
            <w:webHidden/>
            <w:sz w:val="22"/>
            <w:szCs w:val="22"/>
          </w:rPr>
          <w:fldChar w:fldCharType="end"/>
        </w:r>
      </w:hyperlink>
    </w:p>
    <w:p w:rsidR="00967D28" w:rsidRPr="000D1BD6" w:rsidRDefault="007E0BA0">
      <w:pPr>
        <w:pStyle w:val="TM5"/>
        <w:tabs>
          <w:tab w:val="right" w:leader="dot" w:pos="9062"/>
        </w:tabs>
        <w:rPr>
          <w:rFonts w:ascii="Times New Roman" w:eastAsiaTheme="minorEastAsia" w:hAnsi="Times New Roman" w:cs="Times New Roman"/>
          <w:noProof/>
          <w:sz w:val="22"/>
          <w:szCs w:val="22"/>
          <w:lang w:eastAsia="fr-FR"/>
        </w:rPr>
      </w:pPr>
      <w:hyperlink w:anchor="_Toc518672829" w:history="1">
        <w:r w:rsidR="00967D28" w:rsidRPr="000D1BD6">
          <w:rPr>
            <w:rStyle w:val="Lienhypertexte"/>
            <w:rFonts w:ascii="Times New Roman" w:hAnsi="Times New Roman" w:cs="Times New Roman"/>
            <w:noProof/>
            <w:sz w:val="22"/>
            <w:szCs w:val="22"/>
          </w:rPr>
          <w:t>B. Un droit pluridisciplinaire</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_Toc518672829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64</w:t>
        </w:r>
        <w:r w:rsidRPr="000D1BD6">
          <w:rPr>
            <w:rFonts w:ascii="Times New Roman" w:hAnsi="Times New Roman" w:cs="Times New Roman"/>
            <w:noProof/>
            <w:webHidden/>
            <w:sz w:val="22"/>
            <w:szCs w:val="22"/>
          </w:rPr>
          <w:fldChar w:fldCharType="end"/>
        </w:r>
      </w:hyperlink>
    </w:p>
    <w:p w:rsidR="00967D28" w:rsidRPr="000D1BD6" w:rsidRDefault="007E0BA0">
      <w:pPr>
        <w:pStyle w:val="TM4"/>
        <w:tabs>
          <w:tab w:val="right" w:leader="dot" w:pos="9062"/>
        </w:tabs>
        <w:rPr>
          <w:rFonts w:ascii="Times New Roman" w:eastAsiaTheme="minorEastAsia" w:hAnsi="Times New Roman" w:cs="Times New Roman"/>
          <w:noProof/>
          <w:sz w:val="22"/>
          <w:szCs w:val="22"/>
          <w:lang w:eastAsia="fr-FR"/>
        </w:rPr>
      </w:pPr>
      <w:hyperlink w:anchor="_Toc518672830" w:history="1">
        <w:r w:rsidR="00967D28" w:rsidRPr="000D1BD6">
          <w:rPr>
            <w:rStyle w:val="Lienhypertexte"/>
            <w:rFonts w:ascii="Times New Roman" w:hAnsi="Times New Roman" w:cs="Times New Roman"/>
            <w:noProof/>
            <w:sz w:val="22"/>
            <w:szCs w:val="22"/>
          </w:rPr>
          <w:t>§ 2: La compétence discrétionnaire des juridictions nationales</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_Toc518672830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66</w:t>
        </w:r>
        <w:r w:rsidRPr="000D1BD6">
          <w:rPr>
            <w:rFonts w:ascii="Times New Roman" w:hAnsi="Times New Roman" w:cs="Times New Roman"/>
            <w:noProof/>
            <w:webHidden/>
            <w:sz w:val="22"/>
            <w:szCs w:val="22"/>
          </w:rPr>
          <w:fldChar w:fldCharType="end"/>
        </w:r>
      </w:hyperlink>
    </w:p>
    <w:p w:rsidR="00967D28" w:rsidRPr="000D1BD6" w:rsidRDefault="007E0BA0">
      <w:pPr>
        <w:pStyle w:val="TM5"/>
        <w:tabs>
          <w:tab w:val="right" w:leader="dot" w:pos="9062"/>
        </w:tabs>
        <w:rPr>
          <w:rFonts w:ascii="Times New Roman" w:eastAsiaTheme="minorEastAsia" w:hAnsi="Times New Roman" w:cs="Times New Roman"/>
          <w:noProof/>
          <w:sz w:val="22"/>
          <w:szCs w:val="22"/>
          <w:lang w:eastAsia="fr-FR"/>
        </w:rPr>
      </w:pPr>
      <w:hyperlink w:anchor="_Toc518672831" w:history="1">
        <w:r w:rsidR="00967D28" w:rsidRPr="000D1BD6">
          <w:rPr>
            <w:rStyle w:val="Lienhypertexte"/>
            <w:rFonts w:ascii="Times New Roman" w:hAnsi="Times New Roman" w:cs="Times New Roman"/>
            <w:noProof/>
            <w:sz w:val="22"/>
            <w:szCs w:val="22"/>
          </w:rPr>
          <w:t>A. Absence d’obligation de renvoi</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_Toc518672831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66</w:t>
        </w:r>
        <w:r w:rsidRPr="000D1BD6">
          <w:rPr>
            <w:rFonts w:ascii="Times New Roman" w:hAnsi="Times New Roman" w:cs="Times New Roman"/>
            <w:noProof/>
            <w:webHidden/>
            <w:sz w:val="22"/>
            <w:szCs w:val="22"/>
          </w:rPr>
          <w:fldChar w:fldCharType="end"/>
        </w:r>
      </w:hyperlink>
    </w:p>
    <w:p w:rsidR="00967D28" w:rsidRPr="000D1BD6" w:rsidRDefault="007E0BA0">
      <w:pPr>
        <w:pStyle w:val="TM5"/>
        <w:tabs>
          <w:tab w:val="right" w:leader="dot" w:pos="9062"/>
        </w:tabs>
        <w:rPr>
          <w:rFonts w:ascii="Times New Roman" w:eastAsiaTheme="minorEastAsia" w:hAnsi="Times New Roman" w:cs="Times New Roman"/>
          <w:noProof/>
          <w:sz w:val="22"/>
          <w:szCs w:val="22"/>
          <w:lang w:eastAsia="fr-FR"/>
        </w:rPr>
      </w:pPr>
      <w:hyperlink w:anchor="_Toc518672832" w:history="1">
        <w:r w:rsidR="00967D28" w:rsidRPr="000D1BD6">
          <w:rPr>
            <w:rStyle w:val="Lienhypertexte"/>
            <w:rFonts w:ascii="Times New Roman" w:hAnsi="Times New Roman" w:cs="Times New Roman"/>
            <w:noProof/>
            <w:sz w:val="22"/>
            <w:szCs w:val="22"/>
          </w:rPr>
          <w:t>B. Absence d’interdiction de réitérer en matière préjudicielle</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_Toc518672832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67</w:t>
        </w:r>
        <w:r w:rsidRPr="000D1BD6">
          <w:rPr>
            <w:rFonts w:ascii="Times New Roman" w:hAnsi="Times New Roman" w:cs="Times New Roman"/>
            <w:noProof/>
            <w:webHidden/>
            <w:sz w:val="22"/>
            <w:szCs w:val="22"/>
          </w:rPr>
          <w:fldChar w:fldCharType="end"/>
        </w:r>
      </w:hyperlink>
    </w:p>
    <w:p w:rsidR="00967D28" w:rsidRPr="000D1BD6" w:rsidRDefault="007E0BA0">
      <w:pPr>
        <w:pStyle w:val="TM3"/>
        <w:tabs>
          <w:tab w:val="right" w:leader="dot" w:pos="9062"/>
        </w:tabs>
        <w:rPr>
          <w:rFonts w:ascii="Times New Roman" w:eastAsiaTheme="minorEastAsia" w:hAnsi="Times New Roman" w:cs="Times New Roman"/>
          <w:noProof/>
          <w:sz w:val="22"/>
          <w:szCs w:val="22"/>
          <w:lang w:eastAsia="fr-FR"/>
        </w:rPr>
      </w:pPr>
      <w:hyperlink w:anchor="_Toc518672833" w:history="1">
        <w:r w:rsidR="00967D28" w:rsidRPr="000D1BD6">
          <w:rPr>
            <w:rStyle w:val="Lienhypertexte"/>
            <w:rFonts w:ascii="Times New Roman" w:hAnsi="Times New Roman" w:cs="Times New Roman"/>
            <w:noProof/>
            <w:sz w:val="22"/>
            <w:szCs w:val="22"/>
          </w:rPr>
          <w:t>SECTION II : LA FRAGILITE DE LA JURIDICTION COMMUNAUTAIRE</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_Toc518672833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69</w:t>
        </w:r>
        <w:r w:rsidRPr="000D1BD6">
          <w:rPr>
            <w:rFonts w:ascii="Times New Roman" w:hAnsi="Times New Roman" w:cs="Times New Roman"/>
            <w:noProof/>
            <w:webHidden/>
            <w:sz w:val="22"/>
            <w:szCs w:val="22"/>
          </w:rPr>
          <w:fldChar w:fldCharType="end"/>
        </w:r>
      </w:hyperlink>
    </w:p>
    <w:p w:rsidR="00967D28" w:rsidRPr="000D1BD6" w:rsidRDefault="007E0BA0">
      <w:pPr>
        <w:pStyle w:val="TM4"/>
        <w:tabs>
          <w:tab w:val="right" w:leader="dot" w:pos="9062"/>
        </w:tabs>
        <w:rPr>
          <w:rFonts w:ascii="Times New Roman" w:eastAsiaTheme="minorEastAsia" w:hAnsi="Times New Roman" w:cs="Times New Roman"/>
          <w:noProof/>
          <w:sz w:val="22"/>
          <w:szCs w:val="22"/>
          <w:lang w:eastAsia="fr-FR"/>
        </w:rPr>
      </w:pPr>
      <w:hyperlink w:anchor="_Toc518672834" w:history="1">
        <w:r w:rsidR="00967D28" w:rsidRPr="000D1BD6">
          <w:rPr>
            <w:rStyle w:val="Lienhypertexte"/>
            <w:rFonts w:ascii="Times New Roman" w:hAnsi="Times New Roman" w:cs="Times New Roman"/>
            <w:noProof/>
            <w:sz w:val="22"/>
            <w:szCs w:val="22"/>
          </w:rPr>
          <w:t>§ 1 : Les précarités juridiques</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_Toc518672834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69</w:t>
        </w:r>
        <w:r w:rsidRPr="000D1BD6">
          <w:rPr>
            <w:rFonts w:ascii="Times New Roman" w:hAnsi="Times New Roman" w:cs="Times New Roman"/>
            <w:noProof/>
            <w:webHidden/>
            <w:sz w:val="22"/>
            <w:szCs w:val="22"/>
          </w:rPr>
          <w:fldChar w:fldCharType="end"/>
        </w:r>
      </w:hyperlink>
    </w:p>
    <w:p w:rsidR="00967D28" w:rsidRPr="000D1BD6" w:rsidRDefault="007E0BA0">
      <w:pPr>
        <w:pStyle w:val="TM5"/>
        <w:tabs>
          <w:tab w:val="right" w:leader="dot" w:pos="9062"/>
        </w:tabs>
        <w:rPr>
          <w:rFonts w:ascii="Times New Roman" w:eastAsiaTheme="minorEastAsia" w:hAnsi="Times New Roman" w:cs="Times New Roman"/>
          <w:noProof/>
          <w:sz w:val="22"/>
          <w:szCs w:val="22"/>
          <w:lang w:eastAsia="fr-FR"/>
        </w:rPr>
      </w:pPr>
      <w:hyperlink w:anchor="_Toc518672835" w:history="1">
        <w:r w:rsidR="00967D28" w:rsidRPr="000D1BD6">
          <w:rPr>
            <w:rStyle w:val="Lienhypertexte"/>
            <w:rFonts w:ascii="Times New Roman" w:hAnsi="Times New Roman" w:cs="Times New Roman"/>
            <w:noProof/>
            <w:sz w:val="22"/>
            <w:szCs w:val="22"/>
          </w:rPr>
          <w:t>A. L’absence de sanction en matière préjudicielle</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_Toc518672835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69</w:t>
        </w:r>
        <w:r w:rsidRPr="000D1BD6">
          <w:rPr>
            <w:rFonts w:ascii="Times New Roman" w:hAnsi="Times New Roman" w:cs="Times New Roman"/>
            <w:noProof/>
            <w:webHidden/>
            <w:sz w:val="22"/>
            <w:szCs w:val="22"/>
          </w:rPr>
          <w:fldChar w:fldCharType="end"/>
        </w:r>
      </w:hyperlink>
    </w:p>
    <w:p w:rsidR="00967D28" w:rsidRPr="000D1BD6" w:rsidRDefault="007E0BA0">
      <w:pPr>
        <w:pStyle w:val="TM5"/>
        <w:tabs>
          <w:tab w:val="right" w:leader="dot" w:pos="9062"/>
        </w:tabs>
        <w:rPr>
          <w:rFonts w:ascii="Times New Roman" w:eastAsiaTheme="minorEastAsia" w:hAnsi="Times New Roman" w:cs="Times New Roman"/>
          <w:noProof/>
          <w:sz w:val="22"/>
          <w:szCs w:val="22"/>
          <w:lang w:eastAsia="fr-FR"/>
        </w:rPr>
      </w:pPr>
      <w:hyperlink w:anchor="_Toc518672836" w:history="1">
        <w:r w:rsidR="00967D28" w:rsidRPr="000D1BD6">
          <w:rPr>
            <w:rStyle w:val="Lienhypertexte"/>
            <w:rFonts w:ascii="Times New Roman" w:hAnsi="Times New Roman" w:cs="Times New Roman"/>
            <w:noProof/>
            <w:sz w:val="22"/>
            <w:szCs w:val="22"/>
          </w:rPr>
          <w:t>B. L’absence d’auto-saisine par la Cour de justice</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_Toc518672836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71</w:t>
        </w:r>
        <w:r w:rsidRPr="000D1BD6">
          <w:rPr>
            <w:rFonts w:ascii="Times New Roman" w:hAnsi="Times New Roman" w:cs="Times New Roman"/>
            <w:noProof/>
            <w:webHidden/>
            <w:sz w:val="22"/>
            <w:szCs w:val="22"/>
          </w:rPr>
          <w:fldChar w:fldCharType="end"/>
        </w:r>
      </w:hyperlink>
    </w:p>
    <w:p w:rsidR="00967D28" w:rsidRPr="000D1BD6" w:rsidRDefault="007E0BA0">
      <w:pPr>
        <w:pStyle w:val="TM4"/>
        <w:tabs>
          <w:tab w:val="right" w:leader="dot" w:pos="9062"/>
        </w:tabs>
        <w:rPr>
          <w:rFonts w:ascii="Times New Roman" w:eastAsiaTheme="minorEastAsia" w:hAnsi="Times New Roman" w:cs="Times New Roman"/>
          <w:noProof/>
          <w:sz w:val="22"/>
          <w:szCs w:val="22"/>
          <w:lang w:eastAsia="fr-FR"/>
        </w:rPr>
      </w:pPr>
      <w:hyperlink w:anchor="_Toc518672837" w:history="1">
        <w:r w:rsidR="00967D28" w:rsidRPr="000D1BD6">
          <w:rPr>
            <w:rStyle w:val="Lienhypertexte"/>
            <w:rFonts w:ascii="Times New Roman" w:hAnsi="Times New Roman" w:cs="Times New Roman"/>
            <w:noProof/>
            <w:sz w:val="22"/>
            <w:szCs w:val="22"/>
          </w:rPr>
          <w:t>§ 2: Les précarités judiciaires</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_Toc518672837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72</w:t>
        </w:r>
        <w:r w:rsidRPr="000D1BD6">
          <w:rPr>
            <w:rFonts w:ascii="Times New Roman" w:hAnsi="Times New Roman" w:cs="Times New Roman"/>
            <w:noProof/>
            <w:webHidden/>
            <w:sz w:val="22"/>
            <w:szCs w:val="22"/>
          </w:rPr>
          <w:fldChar w:fldCharType="end"/>
        </w:r>
      </w:hyperlink>
    </w:p>
    <w:p w:rsidR="00967D28" w:rsidRPr="000D1BD6" w:rsidRDefault="007E0BA0">
      <w:pPr>
        <w:pStyle w:val="TM5"/>
        <w:tabs>
          <w:tab w:val="right" w:leader="dot" w:pos="9062"/>
        </w:tabs>
        <w:rPr>
          <w:rFonts w:ascii="Times New Roman" w:eastAsiaTheme="minorEastAsia" w:hAnsi="Times New Roman" w:cs="Times New Roman"/>
          <w:noProof/>
          <w:sz w:val="22"/>
          <w:szCs w:val="22"/>
          <w:lang w:eastAsia="fr-FR"/>
        </w:rPr>
      </w:pPr>
      <w:hyperlink w:anchor="_Toc518672838" w:history="1">
        <w:r w:rsidR="00967D28" w:rsidRPr="000D1BD6">
          <w:rPr>
            <w:rStyle w:val="Lienhypertexte"/>
            <w:rFonts w:ascii="Times New Roman" w:hAnsi="Times New Roman" w:cs="Times New Roman"/>
            <w:noProof/>
            <w:sz w:val="22"/>
            <w:szCs w:val="22"/>
          </w:rPr>
          <w:t>A. L’absence de précédent jurisprudentiel en matière préjudicielle</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_Toc518672838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73</w:t>
        </w:r>
        <w:r w:rsidRPr="000D1BD6">
          <w:rPr>
            <w:rFonts w:ascii="Times New Roman" w:hAnsi="Times New Roman" w:cs="Times New Roman"/>
            <w:noProof/>
            <w:webHidden/>
            <w:sz w:val="22"/>
            <w:szCs w:val="22"/>
          </w:rPr>
          <w:fldChar w:fldCharType="end"/>
        </w:r>
      </w:hyperlink>
    </w:p>
    <w:p w:rsidR="00967D28" w:rsidRPr="000D1BD6" w:rsidRDefault="007E0BA0">
      <w:pPr>
        <w:pStyle w:val="TM5"/>
        <w:tabs>
          <w:tab w:val="right" w:leader="dot" w:pos="9062"/>
        </w:tabs>
        <w:rPr>
          <w:rFonts w:ascii="Times New Roman" w:eastAsiaTheme="minorEastAsia" w:hAnsi="Times New Roman" w:cs="Times New Roman"/>
          <w:noProof/>
          <w:sz w:val="22"/>
          <w:szCs w:val="22"/>
          <w:lang w:eastAsia="fr-FR"/>
        </w:rPr>
      </w:pPr>
      <w:hyperlink w:anchor="_Toc518672839" w:history="1">
        <w:r w:rsidR="00967D28" w:rsidRPr="000D1BD6">
          <w:rPr>
            <w:rStyle w:val="Lienhypertexte"/>
            <w:rFonts w:ascii="Times New Roman" w:hAnsi="Times New Roman" w:cs="Times New Roman"/>
            <w:noProof/>
            <w:sz w:val="22"/>
            <w:szCs w:val="22"/>
          </w:rPr>
          <w:t>B. L’actuelle préoccupation de la Cour de Justice CEDEAO</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_Toc518672839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75</w:t>
        </w:r>
        <w:r w:rsidRPr="000D1BD6">
          <w:rPr>
            <w:rFonts w:ascii="Times New Roman" w:hAnsi="Times New Roman" w:cs="Times New Roman"/>
            <w:noProof/>
            <w:webHidden/>
            <w:sz w:val="22"/>
            <w:szCs w:val="22"/>
          </w:rPr>
          <w:fldChar w:fldCharType="end"/>
        </w:r>
      </w:hyperlink>
    </w:p>
    <w:p w:rsidR="00967D28" w:rsidRPr="000D1BD6" w:rsidRDefault="007E0BA0">
      <w:pPr>
        <w:pStyle w:val="TM1"/>
        <w:tabs>
          <w:tab w:val="right" w:leader="dot" w:pos="9062"/>
        </w:tabs>
        <w:rPr>
          <w:rFonts w:ascii="Times New Roman" w:eastAsiaTheme="minorEastAsia" w:hAnsi="Times New Roman" w:cs="Times New Roman"/>
          <w:b w:val="0"/>
          <w:bCs w:val="0"/>
          <w:i w:val="0"/>
          <w:iCs w:val="0"/>
          <w:noProof/>
          <w:sz w:val="22"/>
          <w:szCs w:val="22"/>
          <w:lang w:eastAsia="fr-FR"/>
        </w:rPr>
      </w:pPr>
      <w:hyperlink w:anchor="_Toc518672840" w:history="1">
        <w:r w:rsidR="00967D28" w:rsidRPr="000D1BD6">
          <w:rPr>
            <w:rStyle w:val="Lienhypertexte"/>
            <w:rFonts w:ascii="Times New Roman" w:hAnsi="Times New Roman" w:cs="Times New Roman"/>
            <w:noProof/>
            <w:sz w:val="22"/>
            <w:szCs w:val="22"/>
          </w:rPr>
          <w:t>CONCLUSION DU TITRE II</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_Toc518672840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77</w:t>
        </w:r>
        <w:r w:rsidRPr="000D1BD6">
          <w:rPr>
            <w:rFonts w:ascii="Times New Roman" w:hAnsi="Times New Roman" w:cs="Times New Roman"/>
            <w:noProof/>
            <w:webHidden/>
            <w:sz w:val="22"/>
            <w:szCs w:val="22"/>
          </w:rPr>
          <w:fldChar w:fldCharType="end"/>
        </w:r>
      </w:hyperlink>
    </w:p>
    <w:p w:rsidR="00967D28" w:rsidRPr="000D1BD6" w:rsidRDefault="007E0BA0">
      <w:pPr>
        <w:pStyle w:val="TM1"/>
        <w:tabs>
          <w:tab w:val="right" w:leader="dot" w:pos="9062"/>
        </w:tabs>
        <w:rPr>
          <w:rFonts w:ascii="Times New Roman" w:eastAsiaTheme="minorEastAsia" w:hAnsi="Times New Roman" w:cs="Times New Roman"/>
          <w:b w:val="0"/>
          <w:bCs w:val="0"/>
          <w:i w:val="0"/>
          <w:iCs w:val="0"/>
          <w:noProof/>
          <w:sz w:val="22"/>
          <w:szCs w:val="22"/>
          <w:lang w:eastAsia="fr-FR"/>
        </w:rPr>
      </w:pPr>
      <w:hyperlink w:anchor="_Toc518672841" w:history="1">
        <w:r w:rsidR="00967D28" w:rsidRPr="000D1BD6">
          <w:rPr>
            <w:rStyle w:val="Lienhypertexte"/>
            <w:rFonts w:ascii="Times New Roman" w:hAnsi="Times New Roman" w:cs="Times New Roman"/>
            <w:noProof/>
            <w:sz w:val="22"/>
            <w:szCs w:val="22"/>
          </w:rPr>
          <w:t>CONCLUSION GENERALE</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_Toc518672841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78</w:t>
        </w:r>
        <w:r w:rsidRPr="000D1BD6">
          <w:rPr>
            <w:rFonts w:ascii="Times New Roman" w:hAnsi="Times New Roman" w:cs="Times New Roman"/>
            <w:noProof/>
            <w:webHidden/>
            <w:sz w:val="22"/>
            <w:szCs w:val="22"/>
          </w:rPr>
          <w:fldChar w:fldCharType="end"/>
        </w:r>
      </w:hyperlink>
    </w:p>
    <w:p w:rsidR="00967D28" w:rsidRPr="000D1BD6" w:rsidRDefault="007E0BA0">
      <w:pPr>
        <w:pStyle w:val="TM1"/>
        <w:tabs>
          <w:tab w:val="right" w:leader="dot" w:pos="9062"/>
        </w:tabs>
        <w:rPr>
          <w:rFonts w:ascii="Times New Roman" w:eastAsiaTheme="minorEastAsia" w:hAnsi="Times New Roman" w:cs="Times New Roman"/>
          <w:b w:val="0"/>
          <w:bCs w:val="0"/>
          <w:i w:val="0"/>
          <w:iCs w:val="0"/>
          <w:noProof/>
          <w:sz w:val="22"/>
          <w:szCs w:val="22"/>
          <w:lang w:eastAsia="fr-FR"/>
        </w:rPr>
      </w:pPr>
      <w:hyperlink w:anchor="_Toc518672842" w:history="1">
        <w:r w:rsidR="00967D28" w:rsidRPr="000D1BD6">
          <w:rPr>
            <w:rStyle w:val="Lienhypertexte"/>
            <w:rFonts w:ascii="Times New Roman" w:hAnsi="Times New Roman" w:cs="Times New Roman"/>
            <w:noProof/>
            <w:sz w:val="22"/>
            <w:szCs w:val="22"/>
          </w:rPr>
          <w:t>BIBLIOGRAPHIE GENERALE</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_Toc518672842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80</w:t>
        </w:r>
        <w:r w:rsidRPr="000D1BD6">
          <w:rPr>
            <w:rFonts w:ascii="Times New Roman" w:hAnsi="Times New Roman" w:cs="Times New Roman"/>
            <w:noProof/>
            <w:webHidden/>
            <w:sz w:val="22"/>
            <w:szCs w:val="22"/>
          </w:rPr>
          <w:fldChar w:fldCharType="end"/>
        </w:r>
      </w:hyperlink>
    </w:p>
    <w:p w:rsidR="00967D28" w:rsidRPr="000D1BD6" w:rsidRDefault="007E0BA0">
      <w:pPr>
        <w:pStyle w:val="TM1"/>
        <w:tabs>
          <w:tab w:val="right" w:leader="dot" w:pos="9062"/>
        </w:tabs>
        <w:rPr>
          <w:rFonts w:ascii="Times New Roman" w:eastAsiaTheme="minorEastAsia" w:hAnsi="Times New Roman" w:cs="Times New Roman"/>
          <w:b w:val="0"/>
          <w:bCs w:val="0"/>
          <w:i w:val="0"/>
          <w:iCs w:val="0"/>
          <w:noProof/>
          <w:sz w:val="22"/>
          <w:szCs w:val="22"/>
          <w:lang w:eastAsia="fr-FR"/>
        </w:rPr>
      </w:pPr>
      <w:hyperlink w:anchor="_Toc518672843" w:history="1">
        <w:r w:rsidR="00967D28" w:rsidRPr="000D1BD6">
          <w:rPr>
            <w:rStyle w:val="Lienhypertexte"/>
            <w:rFonts w:ascii="Times New Roman" w:hAnsi="Times New Roman" w:cs="Times New Roman"/>
            <w:noProof/>
            <w:sz w:val="22"/>
            <w:szCs w:val="22"/>
          </w:rPr>
          <w:t>TABLE DES MATIERES :</w:t>
        </w:r>
        <w:r w:rsidR="00967D28" w:rsidRPr="000D1BD6">
          <w:rPr>
            <w:rFonts w:ascii="Times New Roman" w:hAnsi="Times New Roman" w:cs="Times New Roman"/>
            <w:noProof/>
            <w:webHidden/>
            <w:sz w:val="22"/>
            <w:szCs w:val="22"/>
          </w:rPr>
          <w:tab/>
        </w:r>
        <w:r w:rsidRPr="000D1BD6">
          <w:rPr>
            <w:rFonts w:ascii="Times New Roman" w:hAnsi="Times New Roman" w:cs="Times New Roman"/>
            <w:noProof/>
            <w:webHidden/>
            <w:sz w:val="22"/>
            <w:szCs w:val="22"/>
          </w:rPr>
          <w:fldChar w:fldCharType="begin"/>
        </w:r>
        <w:r w:rsidR="00967D28" w:rsidRPr="000D1BD6">
          <w:rPr>
            <w:rFonts w:ascii="Times New Roman" w:hAnsi="Times New Roman" w:cs="Times New Roman"/>
            <w:noProof/>
            <w:webHidden/>
            <w:sz w:val="22"/>
            <w:szCs w:val="22"/>
          </w:rPr>
          <w:instrText xml:space="preserve"> PAGEREF _Toc518672843 \h </w:instrText>
        </w:r>
        <w:r w:rsidRPr="000D1BD6">
          <w:rPr>
            <w:rFonts w:ascii="Times New Roman" w:hAnsi="Times New Roman" w:cs="Times New Roman"/>
            <w:noProof/>
            <w:webHidden/>
            <w:sz w:val="22"/>
            <w:szCs w:val="22"/>
          </w:rPr>
        </w:r>
        <w:r w:rsidRPr="000D1BD6">
          <w:rPr>
            <w:rFonts w:ascii="Times New Roman" w:hAnsi="Times New Roman" w:cs="Times New Roman"/>
            <w:noProof/>
            <w:webHidden/>
            <w:sz w:val="22"/>
            <w:szCs w:val="22"/>
          </w:rPr>
          <w:fldChar w:fldCharType="separate"/>
        </w:r>
        <w:r w:rsidR="00002397">
          <w:rPr>
            <w:rFonts w:ascii="Times New Roman" w:hAnsi="Times New Roman" w:cs="Times New Roman"/>
            <w:noProof/>
            <w:webHidden/>
            <w:sz w:val="22"/>
            <w:szCs w:val="22"/>
          </w:rPr>
          <w:t>92</w:t>
        </w:r>
        <w:r w:rsidRPr="000D1BD6">
          <w:rPr>
            <w:rFonts w:ascii="Times New Roman" w:hAnsi="Times New Roman" w:cs="Times New Roman"/>
            <w:noProof/>
            <w:webHidden/>
            <w:sz w:val="22"/>
            <w:szCs w:val="22"/>
          </w:rPr>
          <w:fldChar w:fldCharType="end"/>
        </w:r>
      </w:hyperlink>
    </w:p>
    <w:p w:rsidR="00BB70C4" w:rsidRPr="000D1BD6" w:rsidRDefault="007E0BA0" w:rsidP="00BB70C4">
      <w:r w:rsidRPr="000D1BD6">
        <w:fldChar w:fldCharType="end"/>
      </w:r>
    </w:p>
    <w:p w:rsidR="00694424" w:rsidRPr="000D1BD6" w:rsidRDefault="00694424" w:rsidP="00ED2686">
      <w:pPr>
        <w:tabs>
          <w:tab w:val="left" w:pos="7526"/>
        </w:tabs>
        <w:spacing w:line="360" w:lineRule="auto"/>
        <w:jc w:val="both"/>
        <w:rPr>
          <w:rFonts w:ascii="Times New Roman" w:hAnsi="Times New Roman" w:cs="Times New Roman"/>
        </w:rPr>
      </w:pPr>
    </w:p>
    <w:p w:rsidR="00694424" w:rsidRPr="000D1BD6" w:rsidRDefault="00694424" w:rsidP="00695693">
      <w:pPr>
        <w:spacing w:line="360" w:lineRule="auto"/>
        <w:jc w:val="both"/>
        <w:rPr>
          <w:rFonts w:ascii="Times New Roman" w:hAnsi="Times New Roman" w:cs="Times New Roman"/>
        </w:rPr>
      </w:pPr>
      <w:bookmarkStart w:id="119" w:name="_GoBack"/>
      <w:bookmarkEnd w:id="119"/>
    </w:p>
    <w:sectPr w:rsidR="00694424" w:rsidRPr="000D1BD6" w:rsidSect="00C60AB6">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1AA" w:rsidRDefault="00C641AA" w:rsidP="00694424">
      <w:pPr>
        <w:spacing w:after="0" w:line="240" w:lineRule="auto"/>
      </w:pPr>
      <w:r>
        <w:separator/>
      </w:r>
    </w:p>
  </w:endnote>
  <w:endnote w:type="continuationSeparator" w:id="1">
    <w:p w:rsidR="00C641AA" w:rsidRDefault="00C641AA" w:rsidP="006944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745" w:rsidRDefault="00E52745"/>
  <w:p w:rsidR="00E52745" w:rsidRDefault="00E52745">
    <w:pPr>
      <w:pStyle w:val="FooterOdd"/>
    </w:pPr>
    <w:r>
      <w:t xml:space="preserve">Page </w:t>
    </w:r>
    <w:r w:rsidR="007E0BA0" w:rsidRPr="007E0BA0">
      <w:rPr>
        <w:szCs w:val="20"/>
      </w:rPr>
      <w:fldChar w:fldCharType="begin"/>
    </w:r>
    <w:r>
      <w:instrText>PAGE   \* MERGEFORMAT</w:instrText>
    </w:r>
    <w:r w:rsidR="007E0BA0" w:rsidRPr="007E0BA0">
      <w:rPr>
        <w:szCs w:val="20"/>
      </w:rPr>
      <w:fldChar w:fldCharType="separate"/>
    </w:r>
    <w:r w:rsidR="009F6D09" w:rsidRPr="009F6D09">
      <w:rPr>
        <w:noProof/>
        <w:sz w:val="24"/>
        <w:szCs w:val="24"/>
      </w:rPr>
      <w:t>ii</w:t>
    </w:r>
    <w:r w:rsidR="007E0BA0">
      <w:rPr>
        <w:noProof/>
        <w:sz w:val="24"/>
        <w:szCs w:val="24"/>
      </w:rPr>
      <w:fldChar w:fldCharType="end"/>
    </w:r>
  </w:p>
  <w:p w:rsidR="00E52745" w:rsidRDefault="00E5274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1AA" w:rsidRDefault="00C641AA" w:rsidP="00694424">
      <w:pPr>
        <w:spacing w:after="0" w:line="240" w:lineRule="auto"/>
      </w:pPr>
      <w:r>
        <w:separator/>
      </w:r>
    </w:p>
  </w:footnote>
  <w:footnote w:type="continuationSeparator" w:id="1">
    <w:p w:rsidR="00C641AA" w:rsidRDefault="00C641AA" w:rsidP="00694424">
      <w:pPr>
        <w:spacing w:after="0" w:line="240" w:lineRule="auto"/>
      </w:pPr>
      <w:r>
        <w:continuationSeparator/>
      </w:r>
    </w:p>
  </w:footnote>
  <w:footnote w:id="2">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1B324A">
        <w:rPr>
          <w:rFonts w:ascii="Times New Roman" w:hAnsi="Times New Roman" w:cs="Times New Roman"/>
        </w:rPr>
        <w:t xml:space="preserve">Jean-Louis CLERGERIE, </w:t>
      </w:r>
      <w:r w:rsidRPr="001B324A">
        <w:rPr>
          <w:rFonts w:ascii="Times New Roman" w:hAnsi="Times New Roman" w:cs="Times New Roman"/>
          <w:i/>
        </w:rPr>
        <w:t>Le renvoi préjudiciel</w:t>
      </w:r>
      <w:r w:rsidRPr="001B324A">
        <w:rPr>
          <w:rFonts w:ascii="Times New Roman" w:hAnsi="Times New Roman" w:cs="Times New Roman"/>
        </w:rPr>
        <w:t>, Paris, Ellipses, 2000, p. 5.</w:t>
      </w:r>
      <w:r w:rsidRPr="000D1BD6">
        <w:rPr>
          <w:rFonts w:ascii="Times New Roman" w:hAnsi="Times New Roman" w:cs="Times New Roman"/>
        </w:rPr>
        <w:t xml:space="preserve">Voir </w:t>
      </w:r>
      <w:r>
        <w:rPr>
          <w:rFonts w:ascii="Times New Roman" w:hAnsi="Times New Roman" w:cs="Times New Roman"/>
        </w:rPr>
        <w:t xml:space="preserve">aussi </w:t>
      </w:r>
      <w:r w:rsidRPr="000D1BD6">
        <w:rPr>
          <w:rFonts w:ascii="Times New Roman" w:hAnsi="Times New Roman" w:cs="Times New Roman"/>
        </w:rPr>
        <w:t>l’art. 9, § 1 du Protocole d’Accra du 19 janvier 2005 ; la même ressemblance existe en droit UEMOA (art. 1</w:t>
      </w:r>
      <w:r w:rsidRPr="000D1BD6">
        <w:rPr>
          <w:rFonts w:ascii="Times New Roman" w:hAnsi="Times New Roman" w:cs="Times New Roman"/>
          <w:vertAlign w:val="superscript"/>
        </w:rPr>
        <w:t>er</w:t>
      </w:r>
      <w:r w:rsidRPr="000D1BD6">
        <w:rPr>
          <w:rFonts w:ascii="Times New Roman" w:hAnsi="Times New Roman" w:cs="Times New Roman"/>
        </w:rPr>
        <w:t xml:space="preserve"> du Protocole additionnel n° I sur les organes de contrôle de l’UEMOA, art. 14 du règlement n°01/96/CM portant règlement de procédure de la CJ/UEMOA), en droit OHADA (art. 14 du Traité de Québec du 17 octobre 2008) et en droit de la CEMAC à travers l’art. 2 de la Convention de Libreville du 30 janvier 2009 régissant la Cour de justice de la CEMAC.</w:t>
      </w:r>
    </w:p>
  </w:footnote>
  <w:footnote w:id="3">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Robert KOVAR, </w:t>
      </w:r>
      <w:r w:rsidRPr="000D1BD6">
        <w:rPr>
          <w:rFonts w:ascii="Times New Roman" w:hAnsi="Times New Roman" w:cs="Times New Roman"/>
          <w:i/>
        </w:rPr>
        <w:t>L’évaluation de l’article 177 du traité CE, dans la réforme du système juridictionnel communautaire</w:t>
      </w:r>
      <w:r w:rsidRPr="000D1BD6">
        <w:rPr>
          <w:rFonts w:ascii="Times New Roman" w:hAnsi="Times New Roman" w:cs="Times New Roman"/>
        </w:rPr>
        <w:t xml:space="preserve">, Bruxelles, 1994, p. 35, cité par Jean-Louis CLERGERIE, </w:t>
      </w:r>
      <w:r>
        <w:rPr>
          <w:rFonts w:ascii="Times New Roman" w:hAnsi="Times New Roman" w:cs="Times New Roman"/>
          <w:i/>
        </w:rPr>
        <w:t>op. cit.,</w:t>
      </w:r>
      <w:r w:rsidRPr="000D1BD6">
        <w:rPr>
          <w:rFonts w:ascii="Times New Roman" w:hAnsi="Times New Roman" w:cs="Times New Roman"/>
        </w:rPr>
        <w:t>p. 5.</w:t>
      </w:r>
    </w:p>
  </w:footnote>
  <w:footnote w:id="4">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Art. 10, point f du Protocole d’Accra du 19 janvier 2005.</w:t>
      </w:r>
    </w:p>
  </w:footnote>
  <w:footnote w:id="5">
    <w:p w:rsidR="00E52745" w:rsidRPr="000D1BD6" w:rsidRDefault="00E52745" w:rsidP="00F636EC">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Jean SALMON (dir.), </w:t>
      </w:r>
      <w:r w:rsidRPr="000D1BD6">
        <w:rPr>
          <w:rFonts w:ascii="Times New Roman" w:hAnsi="Times New Roman" w:cs="Times New Roman"/>
          <w:i/>
        </w:rPr>
        <w:t>Dictionnaire de droit international public</w:t>
      </w:r>
      <w:r w:rsidRPr="000D1BD6">
        <w:rPr>
          <w:rFonts w:ascii="Times New Roman" w:hAnsi="Times New Roman" w:cs="Times New Roman"/>
        </w:rPr>
        <w:t xml:space="preserve">, </w:t>
      </w:r>
      <w:r w:rsidR="00F52B96" w:rsidRPr="00F52B96">
        <w:rPr>
          <w:rFonts w:ascii="Times New Roman" w:hAnsi="Times New Roman" w:cs="Times New Roman"/>
        </w:rPr>
        <w:t>Bruxelles,</w:t>
      </w:r>
      <w:r w:rsidRPr="000D1BD6">
        <w:rPr>
          <w:rFonts w:ascii="Times New Roman" w:hAnsi="Times New Roman" w:cs="Times New Roman"/>
        </w:rPr>
        <w:t>Bruylant, 2001, pp. 974-975.</w:t>
      </w:r>
    </w:p>
  </w:footnote>
  <w:footnote w:id="6">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Pour la définition de la coopération, consultez Pierre-François GONIDEC, </w:t>
      </w:r>
      <w:r w:rsidRPr="000D1BD6">
        <w:rPr>
          <w:rFonts w:ascii="Times New Roman" w:hAnsi="Times New Roman" w:cs="Times New Roman"/>
          <w:i/>
        </w:rPr>
        <w:t>Les organisations internationales africaines : étude comparative</w:t>
      </w:r>
      <w:r w:rsidRPr="000D1BD6">
        <w:rPr>
          <w:rFonts w:ascii="Times New Roman" w:hAnsi="Times New Roman" w:cs="Times New Roman"/>
        </w:rPr>
        <w:t xml:space="preserve">, Paris, l’Harmattan, 1987, p. 39. </w:t>
      </w:r>
    </w:p>
  </w:footnote>
  <w:footnote w:id="7">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Guy ISAAC, </w:t>
      </w:r>
      <w:r w:rsidRPr="000D1BD6">
        <w:rPr>
          <w:rFonts w:ascii="Times New Roman" w:hAnsi="Times New Roman" w:cs="Times New Roman"/>
          <w:i/>
        </w:rPr>
        <w:t>Droit communautaire général</w:t>
      </w:r>
      <w:r w:rsidRPr="000D1BD6">
        <w:rPr>
          <w:rFonts w:ascii="Times New Roman" w:hAnsi="Times New Roman" w:cs="Times New Roman"/>
        </w:rPr>
        <w:t>, Paris, Masson, 1993, 3</w:t>
      </w:r>
      <w:r w:rsidRPr="000D1BD6">
        <w:rPr>
          <w:rFonts w:ascii="Times New Roman" w:hAnsi="Times New Roman" w:cs="Times New Roman"/>
          <w:vertAlign w:val="superscript"/>
        </w:rPr>
        <w:t>ème</w:t>
      </w:r>
      <w:r w:rsidRPr="000D1BD6">
        <w:rPr>
          <w:rFonts w:ascii="Times New Roman" w:hAnsi="Times New Roman" w:cs="Times New Roman"/>
        </w:rPr>
        <w:t xml:space="preserve"> éd., p. 280. </w:t>
      </w:r>
    </w:p>
  </w:footnote>
  <w:footnote w:id="8">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Cité par Saidou Nourou TALL, </w:t>
      </w:r>
      <w:r w:rsidRPr="000D1BD6">
        <w:rPr>
          <w:rFonts w:ascii="Times New Roman" w:hAnsi="Times New Roman" w:cs="Times New Roman"/>
          <w:i/>
        </w:rPr>
        <w:t>D</w:t>
      </w:r>
      <w:r>
        <w:rPr>
          <w:rFonts w:ascii="Times New Roman" w:hAnsi="Times New Roman" w:cs="Times New Roman"/>
          <w:i/>
        </w:rPr>
        <w:t>roit d</w:t>
      </w:r>
      <w:r w:rsidRPr="000D1BD6">
        <w:rPr>
          <w:rFonts w:ascii="Times New Roman" w:hAnsi="Times New Roman" w:cs="Times New Roman"/>
          <w:i/>
        </w:rPr>
        <w:t>es organisations internationales africaines</w:t>
      </w:r>
      <w:r w:rsidRPr="000D1BD6">
        <w:rPr>
          <w:rFonts w:ascii="Times New Roman" w:hAnsi="Times New Roman" w:cs="Times New Roman"/>
        </w:rPr>
        <w:t xml:space="preserve">, </w:t>
      </w:r>
      <w:r w:rsidRPr="000D1BD6">
        <w:rPr>
          <w:rFonts w:ascii="Times New Roman" w:hAnsi="Times New Roman" w:cs="Times New Roman"/>
          <w:i/>
        </w:rPr>
        <w:t>Théorie générale, droit communautaire comparé, droits de l’homme, paix et sécurité</w:t>
      </w:r>
      <w:r w:rsidRPr="000D1BD6">
        <w:rPr>
          <w:rFonts w:ascii="Times New Roman" w:hAnsi="Times New Roman" w:cs="Times New Roman"/>
        </w:rPr>
        <w:t>, Paris, l’Harmattan, 2015, p. 191.</w:t>
      </w:r>
    </w:p>
  </w:footnote>
  <w:footnote w:id="9">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16 Janvier 1974, </w:t>
      </w:r>
      <w:r w:rsidRPr="000D1BD6">
        <w:rPr>
          <w:rFonts w:ascii="Times New Roman" w:hAnsi="Times New Roman" w:cs="Times New Roman"/>
          <w:i/>
        </w:rPr>
        <w:t>Rheinmuhlen</w:t>
      </w:r>
      <w:r w:rsidRPr="000D1BD6">
        <w:rPr>
          <w:rFonts w:ascii="Times New Roman" w:hAnsi="Times New Roman" w:cs="Times New Roman"/>
        </w:rPr>
        <w:t>, Aff. 166/73, Rec. 33.</w:t>
      </w:r>
    </w:p>
  </w:footnote>
  <w:footnote w:id="10">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01 Décembre 1965, </w:t>
      </w:r>
      <w:r w:rsidRPr="000D1BD6">
        <w:rPr>
          <w:rFonts w:ascii="Times New Roman" w:hAnsi="Times New Roman" w:cs="Times New Roman"/>
          <w:i/>
        </w:rPr>
        <w:t>Schwarze,</w:t>
      </w:r>
      <w:r w:rsidRPr="000D1BD6">
        <w:rPr>
          <w:rFonts w:ascii="Times New Roman" w:hAnsi="Times New Roman" w:cs="Times New Roman"/>
        </w:rPr>
        <w:t xml:space="preserve"> Aff. 16/65, Rec. 1081.</w:t>
      </w:r>
    </w:p>
  </w:footnote>
  <w:footnote w:id="11">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Pour les autres définitions du renvoi préjudiciel, Voy., Serge GUINCHARD, Thierry DEBARD, </w:t>
      </w:r>
      <w:r w:rsidRPr="000D1BD6">
        <w:rPr>
          <w:rFonts w:ascii="Times New Roman" w:hAnsi="Times New Roman" w:cs="Times New Roman"/>
          <w:i/>
        </w:rPr>
        <w:t>Lexique des termes juridiques</w:t>
      </w:r>
      <w:r w:rsidRPr="000D1BD6">
        <w:rPr>
          <w:rFonts w:ascii="Times New Roman" w:hAnsi="Times New Roman" w:cs="Times New Roman"/>
        </w:rPr>
        <w:t>, Paris, Dalloz, 2012,19</w:t>
      </w:r>
      <w:r w:rsidRPr="000D1BD6">
        <w:rPr>
          <w:rFonts w:ascii="Times New Roman" w:hAnsi="Times New Roman" w:cs="Times New Roman"/>
          <w:vertAlign w:val="superscript"/>
        </w:rPr>
        <w:t>ème</w:t>
      </w:r>
      <w:r w:rsidRPr="000D1BD6">
        <w:rPr>
          <w:rFonts w:ascii="Times New Roman" w:hAnsi="Times New Roman" w:cs="Times New Roman"/>
        </w:rPr>
        <w:t xml:space="preserve">éd., p. 747 ; Serge GUINCHARD et autres, </w:t>
      </w:r>
      <w:r w:rsidRPr="000D1BD6">
        <w:rPr>
          <w:rFonts w:ascii="Times New Roman" w:hAnsi="Times New Roman" w:cs="Times New Roman"/>
          <w:i/>
        </w:rPr>
        <w:t>Lexique des termes juridiques,</w:t>
      </w:r>
      <w:r w:rsidRPr="000D1BD6">
        <w:rPr>
          <w:rFonts w:ascii="Times New Roman" w:hAnsi="Times New Roman" w:cs="Times New Roman"/>
        </w:rPr>
        <w:t xml:space="preserve"> Paris, Dalloz, 2009,17</w:t>
      </w:r>
      <w:r w:rsidRPr="000D1BD6">
        <w:rPr>
          <w:rFonts w:ascii="Times New Roman" w:hAnsi="Times New Roman" w:cs="Times New Roman"/>
          <w:vertAlign w:val="superscript"/>
        </w:rPr>
        <w:t>ème</w:t>
      </w:r>
      <w:r w:rsidRPr="000D1BD6">
        <w:rPr>
          <w:rFonts w:ascii="Times New Roman" w:hAnsi="Times New Roman" w:cs="Times New Roman"/>
        </w:rPr>
        <w:t xml:space="preserve"> éd., p. 621 et Terry OLSON, « La responsabilité de l’Etat encourue dans le cadre du droit de l’Union européenne », communication rendue le 1</w:t>
      </w:r>
      <w:r w:rsidRPr="000D1BD6">
        <w:rPr>
          <w:rFonts w:ascii="Times New Roman" w:hAnsi="Times New Roman" w:cs="Times New Roman"/>
          <w:vertAlign w:val="superscript"/>
        </w:rPr>
        <w:t>er</w:t>
      </w:r>
      <w:r>
        <w:rPr>
          <w:rFonts w:ascii="Times New Roman" w:hAnsi="Times New Roman" w:cs="Times New Roman"/>
        </w:rPr>
        <w:t xml:space="preserve"> novembre 2011, </w:t>
      </w:r>
      <w:r w:rsidRPr="000D1BD6">
        <w:rPr>
          <w:rFonts w:ascii="Times New Roman" w:hAnsi="Times New Roman" w:cs="Times New Roman"/>
        </w:rPr>
        <w:t xml:space="preserve">accessible en ligne à l’adresse suivante: </w:t>
      </w:r>
      <w:hyperlink r:id="rId1" w:history="1">
        <w:r w:rsidRPr="000D1BD6">
          <w:rPr>
            <w:rStyle w:val="Lienhypertexte"/>
            <w:rFonts w:ascii="Times New Roman" w:hAnsi="Times New Roman" w:cs="Times New Roman"/>
          </w:rPr>
          <w:t>https://www.pravst.unist.hr</w:t>
        </w:r>
      </w:hyperlink>
      <w:r w:rsidRPr="000D1BD6">
        <w:rPr>
          <w:rFonts w:ascii="Times New Roman" w:hAnsi="Times New Roman" w:cs="Times New Roman"/>
        </w:rPr>
        <w:t xml:space="preserve"> , consulté le 5 juin 2018.</w:t>
      </w:r>
    </w:p>
  </w:footnote>
  <w:footnote w:id="12">
    <w:p w:rsidR="00E52745" w:rsidRPr="009F6D09" w:rsidRDefault="00E52745" w:rsidP="00C50E5F">
      <w:pPr>
        <w:pStyle w:val="Notedebasdepage"/>
        <w:jc w:val="both"/>
        <w:rPr>
          <w:rFonts w:ascii="Times New Roman" w:hAnsi="Times New Roman" w:cs="Times New Roman"/>
          <w:lang w:val="en-US"/>
        </w:rPr>
      </w:pPr>
      <w:r w:rsidRPr="000D1BD6">
        <w:rPr>
          <w:rStyle w:val="Appelnotedebasdep"/>
          <w:rFonts w:ascii="Times New Roman" w:hAnsi="Times New Roman" w:cs="Times New Roman"/>
        </w:rPr>
        <w:footnoteRef/>
      </w:r>
      <w:r w:rsidRPr="009F6D09">
        <w:rPr>
          <w:rFonts w:ascii="Times New Roman" w:hAnsi="Times New Roman" w:cs="Times New Roman"/>
          <w:lang w:val="en-US"/>
        </w:rPr>
        <w:t xml:space="preserve"> Terry OLSON, </w:t>
      </w:r>
      <w:r w:rsidRPr="009F6D09">
        <w:rPr>
          <w:rFonts w:ascii="Times New Roman" w:hAnsi="Times New Roman" w:cs="Times New Roman"/>
          <w:i/>
          <w:lang w:val="en-US"/>
        </w:rPr>
        <w:t>op. cit</w:t>
      </w:r>
      <w:r w:rsidRPr="009F6D09">
        <w:rPr>
          <w:rFonts w:ascii="Times New Roman" w:hAnsi="Times New Roman" w:cs="Times New Roman"/>
          <w:lang w:val="en-US"/>
        </w:rPr>
        <w:t>., p. 2.</w:t>
      </w:r>
    </w:p>
  </w:footnote>
  <w:footnote w:id="13">
    <w:p w:rsidR="00E52745" w:rsidRPr="000D1BD6" w:rsidRDefault="00E52745" w:rsidP="000F712C">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Voir Charlotte KRINKE, </w:t>
      </w:r>
      <w:r w:rsidRPr="000D1BD6">
        <w:rPr>
          <w:rFonts w:ascii="Times New Roman" w:hAnsi="Times New Roman" w:cs="Times New Roman"/>
          <w:i/>
        </w:rPr>
        <w:t>Le renvoi préjudiciel, comment ça marche</w:t>
      </w:r>
      <w:r w:rsidRPr="000D1BD6">
        <w:rPr>
          <w:rFonts w:ascii="Times New Roman" w:hAnsi="Times New Roman" w:cs="Times New Roman"/>
        </w:rPr>
        <w:t xml:space="preserve"> ?, 24 avril 2017, p. 1, accessible en ligne sur : </w:t>
      </w:r>
      <w:hyperlink r:id="rId2" w:history="1">
        <w:r w:rsidRPr="000D1BD6">
          <w:rPr>
            <w:rStyle w:val="Lienhypertexte"/>
            <w:rFonts w:ascii="Times New Roman" w:hAnsi="Times New Roman" w:cs="Times New Roman"/>
          </w:rPr>
          <w:t>https://www.infogm.org</w:t>
        </w:r>
      </w:hyperlink>
      <w:r w:rsidRPr="000D1BD6">
        <w:rPr>
          <w:rFonts w:ascii="Times New Roman" w:hAnsi="Times New Roman" w:cs="Times New Roman"/>
        </w:rPr>
        <w:t xml:space="preserve"> , consulté le 26 avril 2018. Sur ce point, consultez aussi Sansan Robert HIEN, </w:t>
      </w:r>
      <w:r w:rsidRPr="000D1BD6">
        <w:rPr>
          <w:rFonts w:ascii="Times New Roman" w:hAnsi="Times New Roman" w:cs="Times New Roman"/>
          <w:i/>
        </w:rPr>
        <w:t>L’individu devant les juridictions communautaires en Afrique de l’Ouest</w:t>
      </w:r>
      <w:r w:rsidRPr="000D1BD6">
        <w:rPr>
          <w:rFonts w:ascii="Times New Roman" w:hAnsi="Times New Roman" w:cs="Times New Roman"/>
        </w:rPr>
        <w:t>, Mémoire de Master II recherche en droit international public, UFR/SJP de l’Université Ouaga II, 2014-2015, p. 27.</w:t>
      </w:r>
    </w:p>
  </w:footnote>
  <w:footnote w:id="14">
    <w:p w:rsidR="00E52745" w:rsidRPr="000D1BD6" w:rsidRDefault="00E52745" w:rsidP="009D4660">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Valérie Flore YAMEOGO,  </w:t>
      </w:r>
      <w:r w:rsidRPr="000D1BD6">
        <w:rPr>
          <w:rFonts w:ascii="Times New Roman" w:hAnsi="Times New Roman" w:cs="Times New Roman"/>
          <w:i/>
        </w:rPr>
        <w:t>La CEDEAO et les droits de l’homme</w:t>
      </w:r>
      <w:r w:rsidRPr="000D1BD6">
        <w:rPr>
          <w:rFonts w:ascii="Times New Roman" w:hAnsi="Times New Roman" w:cs="Times New Roman"/>
        </w:rPr>
        <w:t>, Mémoire de Master II recherche en droit international public, UFR/SJP de l’Université Ouaga II, 2015-2016, p. 40.</w:t>
      </w:r>
    </w:p>
  </w:footnote>
  <w:footnote w:id="15">
    <w:p w:rsidR="00E52745" w:rsidRPr="000D1BD6" w:rsidRDefault="00E52745" w:rsidP="004373BB">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Voir Charlotte KRINKE</w:t>
      </w:r>
      <w:r w:rsidRPr="000D1BD6">
        <w:rPr>
          <w:rFonts w:ascii="Times New Roman" w:hAnsi="Times New Roman" w:cs="Times New Roman"/>
          <w:i/>
        </w:rPr>
        <w:t>, op. cit.,</w:t>
      </w:r>
      <w:r w:rsidRPr="000D1BD6">
        <w:rPr>
          <w:rFonts w:ascii="Times New Roman" w:hAnsi="Times New Roman" w:cs="Times New Roman"/>
        </w:rPr>
        <w:t>p. 1.</w:t>
      </w:r>
    </w:p>
  </w:footnote>
  <w:footnote w:id="16">
    <w:p w:rsidR="00E52745" w:rsidRPr="000D1BD6" w:rsidRDefault="00E52745" w:rsidP="000870CA">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Cité par Kamwe MOUAFFO, </w:t>
      </w:r>
      <w:r w:rsidRPr="000D1BD6">
        <w:rPr>
          <w:rFonts w:ascii="Times New Roman" w:hAnsi="Times New Roman" w:cs="Times New Roman"/>
          <w:i/>
        </w:rPr>
        <w:t>Le renvoi préjudiciel devant la Cour de justice de la CEMAC</w:t>
      </w:r>
      <w:r w:rsidRPr="000D1BD6">
        <w:rPr>
          <w:rFonts w:ascii="Times New Roman" w:hAnsi="Times New Roman" w:cs="Times New Roman"/>
        </w:rPr>
        <w:t xml:space="preserve">, 14 mars 2014, accessible en ligne à l’adresse suivante : </w:t>
      </w:r>
      <w:hyperlink r:id="rId3" w:history="1">
        <w:r w:rsidRPr="000D1BD6">
          <w:rPr>
            <w:rStyle w:val="Lienhypertexte"/>
            <w:rFonts w:ascii="Times New Roman" w:hAnsi="Times New Roman" w:cs="Times New Roman"/>
          </w:rPr>
          <w:t>https://www.legavox.fr</w:t>
        </w:r>
      </w:hyperlink>
      <w:r w:rsidRPr="000D1BD6">
        <w:rPr>
          <w:rFonts w:ascii="Times New Roman" w:hAnsi="Times New Roman" w:cs="Times New Roman"/>
        </w:rPr>
        <w:t xml:space="preserve"> , consulté le 28 avril 2018.</w:t>
      </w:r>
    </w:p>
  </w:footnote>
  <w:footnote w:id="17">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Cf. M. LAGRANGE, « L’action préjudicielle dans le droit interne des Etats membres et dans la jurisprudence de la Cour de justice », </w:t>
      </w:r>
      <w:r w:rsidR="00F52B96" w:rsidRPr="00F52B96">
        <w:rPr>
          <w:rFonts w:ascii="Times New Roman" w:hAnsi="Times New Roman" w:cs="Times New Roman"/>
          <w:i/>
        </w:rPr>
        <w:t>in</w:t>
      </w:r>
      <w:r w:rsidRPr="000D1BD6">
        <w:rPr>
          <w:rFonts w:ascii="Times New Roman" w:hAnsi="Times New Roman" w:cs="Times New Roman"/>
          <w:i/>
        </w:rPr>
        <w:t>RTDE</w:t>
      </w:r>
      <w:r w:rsidRPr="000D1BD6">
        <w:rPr>
          <w:rFonts w:ascii="Times New Roman" w:hAnsi="Times New Roman" w:cs="Times New Roman"/>
        </w:rPr>
        <w:t xml:space="preserve">, 1974, p.  274, cité par Jean-Louis CLERGERIE, </w:t>
      </w:r>
      <w:r w:rsidRPr="000D1BD6">
        <w:rPr>
          <w:rFonts w:ascii="Times New Roman" w:hAnsi="Times New Roman" w:cs="Times New Roman"/>
          <w:i/>
        </w:rPr>
        <w:t>Le renvoi préjudiciel</w:t>
      </w:r>
      <w:r w:rsidRPr="000D1BD6">
        <w:rPr>
          <w:rFonts w:ascii="Times New Roman" w:hAnsi="Times New Roman" w:cs="Times New Roman"/>
        </w:rPr>
        <w:t xml:space="preserve">, Ellipses, </w:t>
      </w:r>
      <w:r w:rsidRPr="000D1BD6">
        <w:rPr>
          <w:rFonts w:ascii="Times New Roman" w:hAnsi="Times New Roman" w:cs="Times New Roman"/>
          <w:i/>
        </w:rPr>
        <w:t>op. cit.</w:t>
      </w:r>
      <w:r w:rsidRPr="000D1BD6">
        <w:rPr>
          <w:rFonts w:ascii="Times New Roman" w:hAnsi="Times New Roman" w:cs="Times New Roman"/>
        </w:rPr>
        <w:t>, p. 72, note n°1.</w:t>
      </w:r>
    </w:p>
  </w:footnote>
  <w:footnote w:id="18">
    <w:p w:rsidR="00E52745" w:rsidRPr="000D1BD6" w:rsidRDefault="00E52745" w:rsidP="00654A8C">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Cette formule devenue commune a été utilisée pour la première fois par le juge communautaire dans l’arrêt suivant : C.J.C.E., arrêt du 10 juillet 1990, </w:t>
      </w:r>
      <w:r w:rsidRPr="000D1BD6">
        <w:rPr>
          <w:rFonts w:ascii="Times New Roman" w:hAnsi="Times New Roman" w:cs="Times New Roman"/>
          <w:i/>
        </w:rPr>
        <w:t>TetraPak c/ Commission</w:t>
      </w:r>
      <w:r w:rsidRPr="000D1BD6">
        <w:rPr>
          <w:rFonts w:ascii="Times New Roman" w:hAnsi="Times New Roman" w:cs="Times New Roman"/>
        </w:rPr>
        <w:t xml:space="preserve">, Aff. 51/89, point 42, cité par Kamwe MOUAFFO, </w:t>
      </w:r>
      <w:r w:rsidRPr="000D1BD6">
        <w:rPr>
          <w:rFonts w:ascii="Times New Roman" w:hAnsi="Times New Roman" w:cs="Times New Roman"/>
          <w:i/>
        </w:rPr>
        <w:t>Le renvoi préjudiciel devant la Cour de justice de la CEMAC</w:t>
      </w:r>
      <w:r w:rsidRPr="000D1BD6">
        <w:rPr>
          <w:rFonts w:ascii="Times New Roman" w:hAnsi="Times New Roman" w:cs="Times New Roman"/>
        </w:rPr>
        <w:t xml:space="preserve">, </w:t>
      </w:r>
      <w:r w:rsidRPr="000D1BD6">
        <w:rPr>
          <w:rFonts w:ascii="Times New Roman" w:hAnsi="Times New Roman" w:cs="Times New Roman"/>
          <w:i/>
        </w:rPr>
        <w:t>op. cit</w:t>
      </w:r>
      <w:r w:rsidRPr="000D1BD6">
        <w:rPr>
          <w:rFonts w:ascii="Times New Roman" w:hAnsi="Times New Roman" w:cs="Times New Roman"/>
        </w:rPr>
        <w:t>., note n°16.</w:t>
      </w:r>
    </w:p>
  </w:footnote>
  <w:footnote w:id="19">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L’une des variantes du Contentieux de la déclaration, ce recours vise à faire constater l’existence d’un manquement au droit communautaire de la part d’un Etat membre. Il suppose au préalable l’établissement d’un manquement résultant des comportements actifs ou passifs (actions, omissions, retards, abstentions, négligences) et ensuite l’imputabilité à un Etat membre par le fait de ses organes exécutifs, législatifs ou judiciaires. Ce recours est consacré à l’article 7, § 3, g du Traité révisé de la CEDEAO, nouvel article 9 § 1, d introduit par le protocole d’Accra et aux articles 5, 6 et 8 du protocole additionnel n°1 sur les organes de contrôle de l’UEMOA.</w:t>
      </w:r>
    </w:p>
  </w:footnote>
  <w:footnote w:id="20">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Saidou Nourou TALL, </w:t>
      </w:r>
      <w:r w:rsidRPr="000D1BD6">
        <w:rPr>
          <w:rFonts w:ascii="Times New Roman" w:hAnsi="Times New Roman" w:cs="Times New Roman"/>
          <w:i/>
        </w:rPr>
        <w:t>D</w:t>
      </w:r>
      <w:r w:rsidR="00F52B96">
        <w:rPr>
          <w:rFonts w:ascii="Times New Roman" w:hAnsi="Times New Roman" w:cs="Times New Roman"/>
          <w:i/>
        </w:rPr>
        <w:t>roit d</w:t>
      </w:r>
      <w:r w:rsidRPr="000D1BD6">
        <w:rPr>
          <w:rFonts w:ascii="Times New Roman" w:hAnsi="Times New Roman" w:cs="Times New Roman"/>
          <w:i/>
        </w:rPr>
        <w:t>es organisations internationales africaines</w:t>
      </w:r>
      <w:r w:rsidRPr="000D1BD6">
        <w:rPr>
          <w:rFonts w:ascii="Times New Roman" w:hAnsi="Times New Roman" w:cs="Times New Roman"/>
        </w:rPr>
        <w:t xml:space="preserve">, </w:t>
      </w:r>
      <w:r w:rsidRPr="000D1BD6">
        <w:rPr>
          <w:rFonts w:ascii="Times New Roman" w:hAnsi="Times New Roman" w:cs="Times New Roman"/>
          <w:i/>
        </w:rPr>
        <w:t>op. cit.,</w:t>
      </w:r>
      <w:r w:rsidRPr="000D1BD6">
        <w:rPr>
          <w:rFonts w:ascii="Times New Roman" w:hAnsi="Times New Roman" w:cs="Times New Roman"/>
        </w:rPr>
        <w:t xml:space="preserve"> p. 190. </w:t>
      </w:r>
    </w:p>
  </w:footnote>
  <w:footnote w:id="21">
    <w:p w:rsidR="00E52745" w:rsidRPr="000D1BD6" w:rsidRDefault="00E52745" w:rsidP="002C2247">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Cette expression, nous l’empruntons au président Bruno GENEVOIS qui fut reconnu comme le paternel du concept de « </w:t>
      </w:r>
      <w:r w:rsidRPr="000D1BD6">
        <w:rPr>
          <w:rFonts w:ascii="Times New Roman" w:hAnsi="Times New Roman" w:cs="Times New Roman"/>
          <w:i/>
        </w:rPr>
        <w:t>dialogue des juges</w:t>
      </w:r>
      <w:r w:rsidRPr="000D1BD6">
        <w:rPr>
          <w:rFonts w:ascii="Times New Roman" w:hAnsi="Times New Roman" w:cs="Times New Roman"/>
        </w:rPr>
        <w:t> » en affirmant « </w:t>
      </w:r>
      <w:r w:rsidRPr="000D1BD6">
        <w:rPr>
          <w:rFonts w:ascii="Times New Roman" w:hAnsi="Times New Roman" w:cs="Times New Roman"/>
          <w:i/>
        </w:rPr>
        <w:t>qu’à l’échelon de la communauté européenne, il ne doit y avoir ni gouvernement des juges, ni guerre des juges. Il doit y avoir place pour le dialogue des juges</w:t>
      </w:r>
      <w:r w:rsidRPr="000D1BD6">
        <w:rPr>
          <w:rFonts w:ascii="Times New Roman" w:hAnsi="Times New Roman" w:cs="Times New Roman"/>
        </w:rPr>
        <w:t xml:space="preserve"> », voir Conclusion Bruno GENEVOIS, Conseil d’Etat, 22 décembre 1978, </w:t>
      </w:r>
      <w:r w:rsidRPr="000D1BD6">
        <w:rPr>
          <w:rFonts w:ascii="Times New Roman" w:hAnsi="Times New Roman" w:cs="Times New Roman"/>
          <w:i/>
        </w:rPr>
        <w:t>Ministre de l’intérieur c./Cohn-Bendit</w:t>
      </w:r>
      <w:r w:rsidRPr="000D1BD6">
        <w:rPr>
          <w:rFonts w:ascii="Times New Roman" w:hAnsi="Times New Roman" w:cs="Times New Roman"/>
        </w:rPr>
        <w:t xml:space="preserve">, </w:t>
      </w:r>
      <w:r w:rsidRPr="000D1BD6">
        <w:rPr>
          <w:rFonts w:ascii="Times New Roman" w:hAnsi="Times New Roman" w:cs="Times New Roman"/>
          <w:i/>
        </w:rPr>
        <w:t>in les grands arrêts de la jurisprudence administrative</w:t>
      </w:r>
      <w:r w:rsidRPr="000D1BD6">
        <w:rPr>
          <w:rFonts w:ascii="Times New Roman" w:hAnsi="Times New Roman" w:cs="Times New Roman"/>
        </w:rPr>
        <w:t>, France, Dalloz, 2007, 16</w:t>
      </w:r>
      <w:r w:rsidRPr="000D1BD6">
        <w:rPr>
          <w:rFonts w:ascii="Times New Roman" w:hAnsi="Times New Roman" w:cs="Times New Roman"/>
          <w:vertAlign w:val="superscript"/>
        </w:rPr>
        <w:t>ème</w:t>
      </w:r>
      <w:r w:rsidRPr="000D1BD6">
        <w:rPr>
          <w:rFonts w:ascii="Times New Roman" w:hAnsi="Times New Roman" w:cs="Times New Roman"/>
        </w:rPr>
        <w:t xml:space="preserve"> éd., p. 644, cité par Hada MESSOUDI, « Le dialogue après la bataille ?: le nouvel équilibre des questions préjudicielles », </w:t>
      </w:r>
      <w:r w:rsidRPr="000D1BD6">
        <w:rPr>
          <w:rFonts w:ascii="Times New Roman" w:hAnsi="Times New Roman" w:cs="Times New Roman"/>
          <w:i/>
        </w:rPr>
        <w:t>in revue générale du droit</w:t>
      </w:r>
      <w:r w:rsidRPr="000D1BD6">
        <w:rPr>
          <w:rFonts w:ascii="Times New Roman" w:hAnsi="Times New Roman" w:cs="Times New Roman"/>
        </w:rPr>
        <w:t>, 2016, p. 17, note n°45.</w:t>
      </w:r>
    </w:p>
  </w:footnote>
  <w:footnote w:id="22">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Joseph ISSA-SAYEGH et autres, </w:t>
      </w:r>
      <w:r w:rsidRPr="000D1BD6">
        <w:rPr>
          <w:rFonts w:ascii="Times New Roman" w:hAnsi="Times New Roman" w:cs="Times New Roman"/>
          <w:i/>
        </w:rPr>
        <w:t>OHADA : Traité et actes uniformes commentés et annotés</w:t>
      </w:r>
      <w:r w:rsidRPr="000D1BD6">
        <w:rPr>
          <w:rFonts w:ascii="Times New Roman" w:hAnsi="Times New Roman" w:cs="Times New Roman"/>
        </w:rPr>
        <w:t>, Juriscop, édition 2016, p. 42.</w:t>
      </w:r>
    </w:p>
  </w:footnote>
  <w:footnote w:id="23">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George TATY, « La procédure de renvoi préjudiciel en Droit communautaire », </w:t>
      </w:r>
      <w:r w:rsidR="00F52B96" w:rsidRPr="00F52B96">
        <w:rPr>
          <w:rFonts w:ascii="Times New Roman" w:hAnsi="Times New Roman" w:cs="Times New Roman"/>
          <w:i/>
        </w:rPr>
        <w:t>in</w:t>
      </w:r>
      <w:r w:rsidRPr="000D1BD6">
        <w:rPr>
          <w:rFonts w:ascii="Times New Roman" w:hAnsi="Times New Roman" w:cs="Times New Roman"/>
          <w:i/>
        </w:rPr>
        <w:t>Revue de Droit uniforme Africain/ Actualité Trimestrielle de Droit et de jurisprudence,</w:t>
      </w:r>
      <w:r w:rsidRPr="000D1BD6">
        <w:rPr>
          <w:rFonts w:ascii="Times New Roman" w:hAnsi="Times New Roman" w:cs="Times New Roman"/>
        </w:rPr>
        <w:t xml:space="preserve"> 2011, n°004, p. 29.</w:t>
      </w:r>
    </w:p>
  </w:footnote>
  <w:footnote w:id="24">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i/>
        </w:rPr>
        <w:t>Ibid.</w:t>
      </w:r>
    </w:p>
  </w:footnote>
  <w:footnote w:id="25">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i/>
        </w:rPr>
        <w:t>Ibid.</w:t>
      </w:r>
      <w:r w:rsidRPr="000D1BD6">
        <w:rPr>
          <w:rFonts w:ascii="Times New Roman" w:hAnsi="Times New Roman" w:cs="Times New Roman"/>
        </w:rPr>
        <w:t xml:space="preserve"> ; Sur ce point voir aussi Julie KAPRIELIAN, « Le renvoi préjudiciel en droit de l’Union : un mécanisme assurant la protection juridictionnelle effective des individus ? », </w:t>
      </w:r>
      <w:r w:rsidR="005253DD" w:rsidRPr="005253DD">
        <w:rPr>
          <w:rFonts w:ascii="Times New Roman" w:hAnsi="Times New Roman" w:cs="Times New Roman"/>
          <w:i/>
        </w:rPr>
        <w:t>in</w:t>
      </w:r>
      <w:r w:rsidRPr="000D1BD6">
        <w:rPr>
          <w:rFonts w:ascii="Times New Roman" w:hAnsi="Times New Roman" w:cs="Times New Roman"/>
          <w:i/>
        </w:rPr>
        <w:t>Revue Jurisdoctoria</w:t>
      </w:r>
      <w:r w:rsidRPr="000D1BD6">
        <w:rPr>
          <w:rFonts w:ascii="Times New Roman" w:hAnsi="Times New Roman" w:cs="Times New Roman"/>
        </w:rPr>
        <w:t>, 2011, n°6, pp. 75-98.</w:t>
      </w:r>
    </w:p>
  </w:footnote>
  <w:footnote w:id="26">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Voir </w:t>
      </w:r>
      <w:r w:rsidRPr="000D1BD6">
        <w:rPr>
          <w:rFonts w:ascii="Times New Roman" w:hAnsi="Times New Roman" w:cs="Times New Roman"/>
          <w:i/>
        </w:rPr>
        <w:t>infra</w:t>
      </w:r>
      <w:r w:rsidRPr="000D1BD6">
        <w:rPr>
          <w:rFonts w:ascii="Times New Roman" w:hAnsi="Times New Roman" w:cs="Times New Roman"/>
        </w:rPr>
        <w:t>, pp. 23-26.</w:t>
      </w:r>
    </w:p>
  </w:footnote>
  <w:footnote w:id="27">
    <w:p w:rsidR="00E52745" w:rsidRPr="000D1BD6" w:rsidRDefault="00E52745" w:rsidP="001019F9">
      <w:pPr>
        <w:pStyle w:val="Notedebasdepage"/>
        <w:jc w:val="both"/>
        <w:rPr>
          <w:rFonts w:ascii="Times New Roman" w:hAnsi="Times New Roman" w:cs="Times New Roman"/>
        </w:rPr>
      </w:pPr>
      <w:r w:rsidRPr="00E31FA0">
        <w:rPr>
          <w:rStyle w:val="Appelnotedebasdep"/>
          <w:rFonts w:ascii="Times New Roman" w:hAnsi="Times New Roman" w:cs="Times New Roman"/>
        </w:rPr>
        <w:footnoteRef/>
      </w:r>
      <w:r w:rsidRPr="000D1BD6">
        <w:rPr>
          <w:rFonts w:ascii="Times New Roman" w:hAnsi="Times New Roman" w:cs="Times New Roman"/>
        </w:rPr>
        <w:t>En droit constitutionnel, la Q.P.C. n’est autre qu’un mécanisme permettant de saisir le juge constitutionnel de la constitutionnalité d’une loi à l’occasion d’un procès en cours, par le juge chargé de régler le litige principal, à l’occasion duquel la question se pose.  Proposée en France entre 1990-1993, la Q.P.C. n’a vu le jour qu’avec la révision constitutionnelle du 23 juillet 2008. Au terme de cette révision constitutionnelle, les citoyens français saisissent le Conseil d’Etat ou la Cour de cassation pour alléguer des violations des droits de l’homme. Celles-ci (violations) sont constatées par le Conseil constitutionnel saisit par les deux juridictions suprêmes.</w:t>
      </w:r>
    </w:p>
  </w:footnote>
  <w:footnote w:id="28">
    <w:p w:rsidR="00E52745" w:rsidRPr="00725FA8" w:rsidRDefault="00E52745" w:rsidP="00725FA8">
      <w:pPr>
        <w:pStyle w:val="Notedebasdepage"/>
        <w:jc w:val="both"/>
        <w:rPr>
          <w:rFonts w:ascii="Times New Roman" w:hAnsi="Times New Roman" w:cs="Times New Roman"/>
        </w:rPr>
      </w:pPr>
      <w:r w:rsidRPr="00725FA8">
        <w:rPr>
          <w:rStyle w:val="Appelnotedebasdep"/>
          <w:rFonts w:ascii="Times New Roman" w:hAnsi="Times New Roman" w:cs="Times New Roman"/>
        </w:rPr>
        <w:footnoteRef/>
      </w:r>
      <w:r w:rsidRPr="00725FA8">
        <w:rPr>
          <w:rFonts w:ascii="Times New Roman" w:hAnsi="Times New Roman" w:cs="Times New Roman"/>
        </w:rPr>
        <w:t xml:space="preserve"> Voir l’art. 157 de </w:t>
      </w:r>
      <w:r>
        <w:rPr>
          <w:rFonts w:ascii="Times New Roman" w:hAnsi="Times New Roman" w:cs="Times New Roman"/>
        </w:rPr>
        <w:t xml:space="preserve">la constitution Burkinabè </w:t>
      </w:r>
      <w:r w:rsidR="005253DD">
        <w:rPr>
          <w:rFonts w:ascii="Times New Roman" w:hAnsi="Times New Roman" w:cs="Times New Roman"/>
        </w:rPr>
        <w:t>du 2 j</w:t>
      </w:r>
      <w:r w:rsidRPr="00725FA8">
        <w:rPr>
          <w:rFonts w:ascii="Times New Roman" w:hAnsi="Times New Roman" w:cs="Times New Roman"/>
        </w:rPr>
        <w:t>uin 1991.</w:t>
      </w:r>
      <w:r>
        <w:rPr>
          <w:rFonts w:ascii="Times New Roman" w:hAnsi="Times New Roman" w:cs="Times New Roman"/>
        </w:rPr>
        <w:t xml:space="preserve"> Cette constitution a, depuis lors, fait l’objet de plusieurs révisions parmi lesquelles celle de 2012 qui a fait introduire dans la constitution le mécanisme de la question prioritaire de constitutionnalité.</w:t>
      </w:r>
    </w:p>
  </w:footnote>
  <w:footnote w:id="29">
    <w:p w:rsidR="00E52745" w:rsidRPr="000D1BD6" w:rsidRDefault="00E52745" w:rsidP="001019F9">
      <w:pPr>
        <w:pStyle w:val="Notedebasdepage"/>
        <w:jc w:val="both"/>
        <w:rPr>
          <w:rFonts w:ascii="Times New Roman" w:hAnsi="Times New Roman" w:cs="Times New Roman"/>
        </w:rPr>
      </w:pPr>
      <w:r w:rsidRPr="00E31FA0">
        <w:rPr>
          <w:rStyle w:val="Appelnotedebasdep"/>
          <w:rFonts w:ascii="Times New Roman" w:hAnsi="Times New Roman" w:cs="Times New Roman"/>
        </w:rPr>
        <w:footnoteRef/>
      </w:r>
      <w:r w:rsidRPr="000D1BD6">
        <w:rPr>
          <w:rFonts w:ascii="Times New Roman" w:hAnsi="Times New Roman" w:cs="Times New Roman"/>
        </w:rPr>
        <w:t>Selon cet article « </w:t>
      </w:r>
      <w:r w:rsidRPr="000D1BD6">
        <w:rPr>
          <w:rFonts w:ascii="Times New Roman" w:hAnsi="Times New Roman" w:cs="Times New Roman"/>
          <w:i/>
        </w:rPr>
        <w:t>Toute personne partie à un procès peut soulever l’inconstitutionnalité d’une loi devant toute juridiction par voix d’exception. Celle-ci doit surseoir à statuer jusqu’à la décision de la Cour constitutionnelle, qui doit intervenir dans un délai de trente (30) jours</w:t>
      </w:r>
      <w:r w:rsidRPr="000D1BD6">
        <w:rPr>
          <w:rFonts w:ascii="Times New Roman" w:hAnsi="Times New Roman" w:cs="Times New Roman"/>
        </w:rPr>
        <w:t>… ».</w:t>
      </w:r>
    </w:p>
  </w:footnote>
  <w:footnote w:id="30">
    <w:p w:rsidR="00E52745" w:rsidRPr="000D1BD6" w:rsidRDefault="00E52745" w:rsidP="001019F9">
      <w:pPr>
        <w:pStyle w:val="Notedebasdepage"/>
        <w:jc w:val="both"/>
        <w:rPr>
          <w:rFonts w:ascii="Times New Roman" w:hAnsi="Times New Roman" w:cs="Times New Roman"/>
        </w:rPr>
      </w:pPr>
      <w:r w:rsidRPr="00E75EBB">
        <w:rPr>
          <w:rStyle w:val="Appelnotedebasdep"/>
          <w:rFonts w:ascii="Times New Roman" w:hAnsi="Times New Roman" w:cs="Times New Roman"/>
        </w:rPr>
        <w:footnoteRef/>
      </w:r>
      <w:r w:rsidRPr="000D1BD6">
        <w:rPr>
          <w:rFonts w:ascii="Times New Roman" w:hAnsi="Times New Roman" w:cs="Times New Roman"/>
        </w:rPr>
        <w:t>En Espagne, le Tribunal constitutionnel est compétent pour connaitre des recours d’emparo, individuels que les individus peuvent lui adresser quand ils se plaignent de ce qu’un acte administratif ou un jugement porte atteinte à l’un de leur droit constitutionnellement garantit.</w:t>
      </w:r>
    </w:p>
  </w:footnote>
  <w:footnote w:id="31">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Au terme de cet article, tout citoyen Béninois peut directement saisir la Cour constitutionnelle sur la constitutionnalité d’une loi applicable dans une affaire qui le lie devant une juridiction. Celle-ci « </w:t>
      </w:r>
      <w:r w:rsidRPr="000D1BD6">
        <w:rPr>
          <w:rFonts w:ascii="Times New Roman" w:hAnsi="Times New Roman" w:cs="Times New Roman"/>
          <w:i/>
        </w:rPr>
        <w:t>doit surseoir jusqu’à la décision de la Cour constitutionnelle qui doit intervenir dans un délai de trente jours</w:t>
      </w:r>
      <w:r w:rsidRPr="000D1BD6">
        <w:rPr>
          <w:rFonts w:ascii="Times New Roman" w:hAnsi="Times New Roman" w:cs="Times New Roman"/>
        </w:rPr>
        <w:t> ».</w:t>
      </w:r>
    </w:p>
  </w:footnote>
  <w:footnote w:id="32">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Mécanisme de répartition de fonction, il est destiné à établir un dialogue de juge à juge c’est-à-dire entre le juge national, juge de droit commun du contentieux communautaire, et le juge communautaire, chargé de veiller à l’unification du droit communautaire dans son application.</w:t>
      </w:r>
    </w:p>
  </w:footnote>
  <w:footnote w:id="33">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Abdoulaye SOMA, « Modélisation d’un système de justice Constitutionnelle pour une meilleure protection des Droits de l’homme : Trans-constitutionnalisme et Droit constitutionnel comparé. », </w:t>
      </w:r>
      <w:r w:rsidR="005253DD" w:rsidRPr="005253DD">
        <w:rPr>
          <w:rFonts w:ascii="Times New Roman" w:hAnsi="Times New Roman" w:cs="Times New Roman"/>
          <w:i/>
        </w:rPr>
        <w:t>in</w:t>
      </w:r>
      <w:r w:rsidRPr="000D1BD6">
        <w:rPr>
          <w:rFonts w:ascii="Times New Roman" w:hAnsi="Times New Roman" w:cs="Times New Roman"/>
          <w:i/>
        </w:rPr>
        <w:t>Rev. Trim. dr. h.</w:t>
      </w:r>
      <w:r w:rsidRPr="000D1BD6">
        <w:rPr>
          <w:rFonts w:ascii="Times New Roman" w:hAnsi="Times New Roman" w:cs="Times New Roman"/>
        </w:rPr>
        <w:t>, 2009, n°78, p. 439.</w:t>
      </w:r>
    </w:p>
  </w:footnote>
  <w:footnote w:id="34">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George TATY, « Procédure de renvoi préjudiciel en droit communautaire », </w:t>
      </w:r>
      <w:r w:rsidRPr="000D1BD6">
        <w:rPr>
          <w:rFonts w:ascii="Times New Roman" w:hAnsi="Times New Roman" w:cs="Times New Roman"/>
          <w:i/>
        </w:rPr>
        <w:t>op. cit.</w:t>
      </w:r>
      <w:r w:rsidRPr="000D1BD6">
        <w:rPr>
          <w:rFonts w:ascii="Times New Roman" w:hAnsi="Times New Roman" w:cs="Times New Roman"/>
        </w:rPr>
        <w:t>, p. 31.</w:t>
      </w:r>
    </w:p>
  </w:footnote>
  <w:footnote w:id="35">
    <w:p w:rsidR="00E52745" w:rsidRPr="000D1BD6" w:rsidRDefault="00E52745" w:rsidP="003F1471">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Déclaration contenue dans sa résolution du 9 juillet 2008, cité par Narcisse HOUNYO, </w:t>
      </w:r>
      <w:r w:rsidRPr="000D1BD6">
        <w:rPr>
          <w:rFonts w:ascii="Times New Roman" w:hAnsi="Times New Roman" w:cs="Times New Roman"/>
          <w:i/>
        </w:rPr>
        <w:t>La Cour de justice de l’Union Economique et Monétaire Ouest Africaine (UEMOA) dans sa fonction de garante de l’interprétation uniforme des normes communautaires</w:t>
      </w:r>
      <w:r w:rsidRPr="000D1BD6">
        <w:rPr>
          <w:rFonts w:ascii="Times New Roman" w:hAnsi="Times New Roman" w:cs="Times New Roman"/>
        </w:rPr>
        <w:t>, Rapport de stage en droit des affaires, UFR/SJP de l’Université de Ouagadougou, 2007-2008, p. 21.</w:t>
      </w:r>
    </w:p>
  </w:footnote>
  <w:footnote w:id="36">
    <w:p w:rsidR="00E52745" w:rsidRPr="000D1BD6" w:rsidRDefault="00E52745" w:rsidP="00180453">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Jean-Paul JACQUE et autres, « comment assurer une plus grande implication des juridictions nationales dans le système de la convention ? », </w:t>
      </w:r>
      <w:r w:rsidRPr="000D1BD6">
        <w:rPr>
          <w:rFonts w:ascii="Times New Roman" w:hAnsi="Times New Roman" w:cs="Times New Roman"/>
          <w:i/>
        </w:rPr>
        <w:t>in Dialogue entre juges</w:t>
      </w:r>
      <w:r w:rsidRPr="000D1BD6">
        <w:rPr>
          <w:rFonts w:ascii="Times New Roman" w:hAnsi="Times New Roman" w:cs="Times New Roman"/>
        </w:rPr>
        <w:t xml:space="preserve">, Strasbourg, Actes du séminaire, 27 janvier 2012, p. 20, accessible en ligne sur : </w:t>
      </w:r>
      <w:hyperlink r:id="rId4" w:history="1">
        <w:r w:rsidRPr="000D1BD6">
          <w:rPr>
            <w:rStyle w:val="Lienhypertexte"/>
            <w:rFonts w:ascii="Times New Roman" w:hAnsi="Times New Roman" w:cs="Times New Roman"/>
          </w:rPr>
          <w:t>https://www.echr.coe.int</w:t>
        </w:r>
      </w:hyperlink>
      <w:r w:rsidRPr="000D1BD6">
        <w:rPr>
          <w:rFonts w:ascii="Times New Roman" w:hAnsi="Times New Roman" w:cs="Times New Roman"/>
        </w:rPr>
        <w:t xml:space="preserve"> , consulté le 10 avril 2017.</w:t>
      </w:r>
    </w:p>
  </w:footnote>
  <w:footnote w:id="37">
    <w:p w:rsidR="00E52745" w:rsidRPr="000D1BD6" w:rsidRDefault="00E52745" w:rsidP="008C1170">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Les organisations d’intégrations ne sont pas à confondre avec les organisations de coopération. Ainsi, les deux catégories d’organisations visent à résoudre des problèmes d’intérêts communs. Toutefois,  deux Traits marquent leurs différences : d’abord, à la différence des organisations de coopération, dans lesquelles les organes restent en principe intergouvernementaux, les organisations d’intégrations ont une architecture institutionnelle assez originale combinant à la fois les organes intergouvernementaux et les organes propres qualifiés des organes intégrés dont la mission est de défendre les intérêts de l’organisation face aux velléités nationalistes des Etats membres. Ces organes peuvent être administratifs (la Commission de l’UEMOA, CEDEAO, CEMAC ; le secrétariat permanent de l’OHADA, le secrétariat général de la CEN-SAD) ; juridictionnels (Cour de justice de la CEDEAO, de l’UEMOA…) et même consultatifs (Chambre consulaire régionale de l’UEMOA, le Conseil économique et social de la CEDEAO).</w:t>
      </w:r>
    </w:p>
    <w:p w:rsidR="00E52745" w:rsidRPr="000D1BD6" w:rsidRDefault="00E52745" w:rsidP="008C1170">
      <w:pPr>
        <w:pStyle w:val="Notedebasdepage"/>
        <w:jc w:val="both"/>
        <w:rPr>
          <w:rFonts w:ascii="Times New Roman" w:hAnsi="Times New Roman" w:cs="Times New Roman"/>
        </w:rPr>
      </w:pPr>
      <w:r w:rsidRPr="000D1BD6">
        <w:rPr>
          <w:rFonts w:ascii="Times New Roman" w:hAnsi="Times New Roman" w:cs="Times New Roman"/>
        </w:rPr>
        <w:t>Enfin, la différence entre les organisations de coopération et celles d’intégrations résulte du fait que dans les premières les Etats restent toujours souverains, gardent leur indépendance d’action et de décision ; alors que dans les secondes la souveraineté des Etats est réduite, voire anéantie face à l’organisation. C’est en ce sens qu’on parle même de l’abandon partiel ou total de souveraineté. Pour plus de détails sur ce point, Voy., les articles 146 et 172  de la charte de transition Burkinabè de 2015 et de la Constitution nigérienne du 25 Novembre 2010.</w:t>
      </w:r>
    </w:p>
  </w:footnote>
  <w:footnote w:id="38">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Bernard STIRN, « Le Conseil d’Etat et les juridictions communautaires : un demi-siècle de dialogue des juges », </w:t>
      </w:r>
      <w:r w:rsidR="005253DD">
        <w:rPr>
          <w:rFonts w:ascii="Times New Roman" w:hAnsi="Times New Roman" w:cs="Times New Roman"/>
          <w:i/>
        </w:rPr>
        <w:t>in L</w:t>
      </w:r>
      <w:r w:rsidRPr="000D1BD6">
        <w:rPr>
          <w:rFonts w:ascii="Times New Roman" w:hAnsi="Times New Roman" w:cs="Times New Roman"/>
          <w:i/>
        </w:rPr>
        <w:t>a Gazette du palais</w:t>
      </w:r>
      <w:r w:rsidRPr="000D1BD6">
        <w:rPr>
          <w:rFonts w:ascii="Times New Roman" w:hAnsi="Times New Roman" w:cs="Times New Roman"/>
        </w:rPr>
        <w:t xml:space="preserve">, 13-14 Février 2009, p. 3, cité par Naiké LEPOUTRE, « Le renvoi préjudiciel et l’instauration d’un dialogue des juges : le cas de la Cour de Justice de l’Union européenne et du juge administratif français », </w:t>
      </w:r>
      <w:r w:rsidR="005253DD" w:rsidRPr="005253DD">
        <w:rPr>
          <w:rFonts w:ascii="Times New Roman" w:hAnsi="Times New Roman" w:cs="Times New Roman"/>
          <w:i/>
        </w:rPr>
        <w:t>in</w:t>
      </w:r>
      <w:r w:rsidRPr="000D1BD6">
        <w:rPr>
          <w:rFonts w:ascii="Times New Roman" w:hAnsi="Times New Roman" w:cs="Times New Roman"/>
          <w:i/>
        </w:rPr>
        <w:t>Revue Jurisdoctoria</w:t>
      </w:r>
      <w:r w:rsidRPr="000D1BD6">
        <w:rPr>
          <w:rFonts w:ascii="Times New Roman" w:hAnsi="Times New Roman" w:cs="Times New Roman"/>
        </w:rPr>
        <w:t>, 2011, n°6, p. 47, note n°22.</w:t>
      </w:r>
    </w:p>
  </w:footnote>
  <w:footnote w:id="39">
    <w:p w:rsidR="00E52745" w:rsidRPr="000D1BD6" w:rsidRDefault="00E52745" w:rsidP="007567EC">
      <w:pPr>
        <w:pStyle w:val="Notedebasdepage"/>
        <w:tabs>
          <w:tab w:val="right" w:pos="9072"/>
        </w:tabs>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Voy., l’art. 10, point f du Protocole d’Accra du 19 janvier 2005.</w:t>
      </w:r>
      <w:r w:rsidRPr="000D1BD6">
        <w:rPr>
          <w:rFonts w:ascii="Times New Roman" w:hAnsi="Times New Roman" w:cs="Times New Roman"/>
        </w:rPr>
        <w:tab/>
      </w:r>
    </w:p>
  </w:footnote>
  <w:footnote w:id="40">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Voir l’art. 12 du Protocole additionnel n°1 sur les organes de contrôle de l’UEMOA et l’art. 27 de l’Acte additionnel n°10/96 Portant statuts de la Cour de justice de l’UEMOA.</w:t>
      </w:r>
    </w:p>
  </w:footnote>
  <w:footnote w:id="41">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Voy., l’art. 26 de la convention de Libreville du 30 janvier 2009 et l’art. 48, b de l’Acte additionnel Portant statuts de la chambre judiciaire de la Cour de la CEMAC.</w:t>
      </w:r>
    </w:p>
  </w:footnote>
  <w:footnote w:id="42">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Voir l’art. 30 du Traité COMESA du 5 septembre 1980.</w:t>
      </w:r>
    </w:p>
  </w:footnote>
  <w:footnote w:id="43">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Voir l’art. 16 du Protocole sur le Tribunal de la communauté de développement de l’Afrique Australe.</w:t>
      </w:r>
    </w:p>
  </w:footnote>
  <w:footnote w:id="44">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Voir l’art. 15 du Traité de Port-Louis du 17 octobre 1993, modifié par le Traité de Québec du 17 octobre 2008.</w:t>
      </w:r>
    </w:p>
  </w:footnote>
  <w:footnote w:id="45">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Voir l’art. 19, § 3 point b du TUE et l’art. 267 du TFUE dont les textes correspondent en substance aux anciens arts. 177 du Traité CEE, 41 du Traité CECA, 150 du Traité CEEA et 234 du Traité CE.</w:t>
      </w:r>
    </w:p>
  </w:footnote>
  <w:footnote w:id="46">
    <w:p w:rsidR="00E52745" w:rsidRPr="000D1BD6" w:rsidRDefault="00E52745" w:rsidP="006D3FD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Dans ce cas, le juge national, confronté à une difficulté sérieuse d’interprétation, sollicite du juge communautaire la détermination exacte du sens et de la portée d’un acte communautaire afin de pouvoir l’appliquer correctement dans un litige pendant devant lui.</w:t>
      </w:r>
    </w:p>
  </w:footnote>
  <w:footnote w:id="47">
    <w:p w:rsidR="00E52745" w:rsidRPr="000D1BD6" w:rsidRDefault="00E52745" w:rsidP="00EC58F5">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Dans une question préjudicielle en appréciation de validité, le juge national interroge la Cour sur la conformité au droit communautaire d’une règle de droit national ou communautaire, ou d’une pratique administrative existant dans la communauté et dont la légalité est contestée au cours d’un procès ouvert devant lui.</w:t>
      </w:r>
    </w:p>
  </w:footnote>
  <w:footnote w:id="48">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Pour le contenu de cette disposition, voir </w:t>
      </w:r>
      <w:r w:rsidRPr="000D1BD6">
        <w:rPr>
          <w:rFonts w:ascii="Times New Roman" w:hAnsi="Times New Roman" w:cs="Times New Roman"/>
          <w:i/>
        </w:rPr>
        <w:t>supra</w:t>
      </w:r>
      <w:r w:rsidRPr="000D1BD6">
        <w:rPr>
          <w:rFonts w:ascii="Times New Roman" w:hAnsi="Times New Roman" w:cs="Times New Roman"/>
        </w:rPr>
        <w:t>, p. 9.</w:t>
      </w:r>
    </w:p>
  </w:footnote>
  <w:footnote w:id="49">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Dans l’Aff. Du Sud-Ouest Africain, exceptions préliminaires, arrêt du 21 décembre 1962, la CIJ a souligné que « </w:t>
      </w:r>
      <w:r w:rsidRPr="000D1BD6">
        <w:rPr>
          <w:rFonts w:ascii="Times New Roman" w:hAnsi="Times New Roman" w:cs="Times New Roman"/>
          <w:i/>
        </w:rPr>
        <w:t>la terminologie n’est pas un élément déterminant quant au caractère d’un accord ou d’un engagement international</w:t>
      </w:r>
      <w:r w:rsidRPr="000D1BD6">
        <w:rPr>
          <w:rFonts w:ascii="Times New Roman" w:hAnsi="Times New Roman" w:cs="Times New Roman"/>
        </w:rPr>
        <w:t xml:space="preserve"> », cité par Saidou Nourou TALL, </w:t>
      </w:r>
      <w:r w:rsidRPr="000D1BD6">
        <w:rPr>
          <w:rFonts w:ascii="Times New Roman" w:hAnsi="Times New Roman" w:cs="Times New Roman"/>
          <w:i/>
        </w:rPr>
        <w:t>D</w:t>
      </w:r>
      <w:r>
        <w:rPr>
          <w:rFonts w:ascii="Times New Roman" w:hAnsi="Times New Roman" w:cs="Times New Roman"/>
          <w:i/>
        </w:rPr>
        <w:t>roit d</w:t>
      </w:r>
      <w:r w:rsidRPr="000D1BD6">
        <w:rPr>
          <w:rFonts w:ascii="Times New Roman" w:hAnsi="Times New Roman" w:cs="Times New Roman"/>
          <w:i/>
        </w:rPr>
        <w:t>es organisations internationales africaines</w:t>
      </w:r>
      <w:r w:rsidRPr="000D1BD6">
        <w:rPr>
          <w:rFonts w:ascii="Times New Roman" w:hAnsi="Times New Roman" w:cs="Times New Roman"/>
        </w:rPr>
        <w:t xml:space="preserve">, </w:t>
      </w:r>
      <w:r w:rsidRPr="000D1BD6">
        <w:rPr>
          <w:rFonts w:ascii="Times New Roman" w:hAnsi="Times New Roman" w:cs="Times New Roman"/>
          <w:i/>
        </w:rPr>
        <w:t>op. cit</w:t>
      </w:r>
      <w:r w:rsidRPr="000D1BD6">
        <w:rPr>
          <w:rFonts w:ascii="Times New Roman" w:hAnsi="Times New Roman" w:cs="Times New Roman"/>
        </w:rPr>
        <w:t>., p. 57.</w:t>
      </w:r>
    </w:p>
  </w:footnote>
  <w:footnote w:id="50">
    <w:p w:rsidR="00E52745" w:rsidRPr="000D1BD6" w:rsidRDefault="00E52745" w:rsidP="000F4A67">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Cité par Saidou Nourou TALL, </w:t>
      </w:r>
      <w:r w:rsidRPr="000D1BD6">
        <w:rPr>
          <w:rFonts w:ascii="Times New Roman" w:hAnsi="Times New Roman" w:cs="Times New Roman"/>
          <w:i/>
        </w:rPr>
        <w:t>op. cit</w:t>
      </w:r>
      <w:r w:rsidRPr="000D1BD6">
        <w:rPr>
          <w:rFonts w:ascii="Times New Roman" w:hAnsi="Times New Roman" w:cs="Times New Roman"/>
        </w:rPr>
        <w:t>., p. 245.</w:t>
      </w:r>
    </w:p>
  </w:footnote>
  <w:footnote w:id="51">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Prévue à l’art. 15 du Traité révisé de la CEDEAO (ex-art. 11 du Traité de Lagos), la CJ/CEDEAO est l’organe judiciaire principal de la Communauté. Elle est constituée et exerce ses fonctions conformément aux dispositions du protocole additionnel du 6 juillet 1991 relatif à la Cour de justice de la Communauté.</w:t>
      </w:r>
    </w:p>
  </w:footnote>
  <w:footnote w:id="52">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Frédéric KRENC « La Comparaison des systèmes de procédure communautaire avec ceux de la convention européenne des droits de l’homme », </w:t>
      </w:r>
      <w:r w:rsidRPr="00E52745">
        <w:rPr>
          <w:rFonts w:ascii="Times New Roman" w:hAnsi="Times New Roman" w:cs="Times New Roman"/>
          <w:i/>
        </w:rPr>
        <w:t>in</w:t>
      </w:r>
      <w:r w:rsidRPr="000D1BD6">
        <w:rPr>
          <w:rFonts w:ascii="Times New Roman" w:hAnsi="Times New Roman" w:cs="Times New Roman"/>
          <w:i/>
        </w:rPr>
        <w:t>Rev</w:t>
      </w:r>
      <w:r>
        <w:rPr>
          <w:rFonts w:ascii="Times New Roman" w:hAnsi="Times New Roman" w:cs="Times New Roman"/>
          <w:i/>
        </w:rPr>
        <w:t>ue t</w:t>
      </w:r>
      <w:r w:rsidRPr="000D1BD6">
        <w:rPr>
          <w:rFonts w:ascii="Times New Roman" w:hAnsi="Times New Roman" w:cs="Times New Roman"/>
          <w:i/>
        </w:rPr>
        <w:t>rim</w:t>
      </w:r>
      <w:r>
        <w:rPr>
          <w:rFonts w:ascii="Times New Roman" w:hAnsi="Times New Roman" w:cs="Times New Roman"/>
          <w:i/>
        </w:rPr>
        <w:t>estrielle des</w:t>
      </w:r>
      <w:r w:rsidRPr="000D1BD6">
        <w:rPr>
          <w:rFonts w:ascii="Times New Roman" w:hAnsi="Times New Roman" w:cs="Times New Roman"/>
          <w:i/>
        </w:rPr>
        <w:t xml:space="preserve"> dr</w:t>
      </w:r>
      <w:r>
        <w:rPr>
          <w:rFonts w:ascii="Times New Roman" w:hAnsi="Times New Roman" w:cs="Times New Roman"/>
          <w:i/>
        </w:rPr>
        <w:t>oits de l’</w:t>
      </w:r>
      <w:r w:rsidRPr="000D1BD6">
        <w:rPr>
          <w:rFonts w:ascii="Times New Roman" w:hAnsi="Times New Roman" w:cs="Times New Roman"/>
          <w:i/>
        </w:rPr>
        <w:t>h</w:t>
      </w:r>
      <w:r>
        <w:rPr>
          <w:rFonts w:ascii="Times New Roman" w:hAnsi="Times New Roman" w:cs="Times New Roman"/>
          <w:i/>
        </w:rPr>
        <w:t>omme</w:t>
      </w:r>
      <w:r w:rsidRPr="000D1BD6">
        <w:rPr>
          <w:rFonts w:ascii="Times New Roman" w:hAnsi="Times New Roman" w:cs="Times New Roman"/>
        </w:rPr>
        <w:t xml:space="preserve">, 2004, n°57, p. 119 ; voir aussi Jean-Louis CLERGERIE, </w:t>
      </w:r>
      <w:r w:rsidRPr="000D1BD6">
        <w:rPr>
          <w:rFonts w:ascii="Times New Roman" w:hAnsi="Times New Roman" w:cs="Times New Roman"/>
          <w:i/>
        </w:rPr>
        <w:t>Le renvoi préjudiciel</w:t>
      </w:r>
      <w:r w:rsidRPr="000D1BD6">
        <w:rPr>
          <w:rFonts w:ascii="Times New Roman" w:hAnsi="Times New Roman" w:cs="Times New Roman"/>
        </w:rPr>
        <w:t xml:space="preserve">, Ellipses, </w:t>
      </w:r>
      <w:r w:rsidRPr="000D1BD6">
        <w:rPr>
          <w:rFonts w:ascii="Times New Roman" w:hAnsi="Times New Roman" w:cs="Times New Roman"/>
          <w:i/>
        </w:rPr>
        <w:t>op. cit</w:t>
      </w:r>
      <w:r w:rsidRPr="000D1BD6">
        <w:rPr>
          <w:rFonts w:ascii="Times New Roman" w:hAnsi="Times New Roman" w:cs="Times New Roman"/>
        </w:rPr>
        <w:t xml:space="preserve">., p. 68 et Daouda FALL et autres, « Les libertés dans les politiques publiques de sécurité : rôle de l’Avocat », </w:t>
      </w:r>
      <w:r w:rsidRPr="000D1BD6">
        <w:rPr>
          <w:rFonts w:ascii="Times New Roman" w:hAnsi="Times New Roman" w:cs="Times New Roman"/>
          <w:i/>
        </w:rPr>
        <w:t>in bulletin du Barreau du Faso</w:t>
      </w:r>
      <w:r w:rsidRPr="000D1BD6">
        <w:rPr>
          <w:rFonts w:ascii="Times New Roman" w:hAnsi="Times New Roman" w:cs="Times New Roman"/>
        </w:rPr>
        <w:t>, rentrée solennelle 2017, p. 32.</w:t>
      </w:r>
    </w:p>
  </w:footnote>
  <w:footnote w:id="53">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Frédéric KRENC, </w:t>
      </w:r>
      <w:r w:rsidRPr="000D1BD6">
        <w:rPr>
          <w:rFonts w:ascii="Times New Roman" w:hAnsi="Times New Roman" w:cs="Times New Roman"/>
          <w:i/>
        </w:rPr>
        <w:t>op. cit</w:t>
      </w:r>
      <w:r w:rsidRPr="000D1BD6">
        <w:rPr>
          <w:rFonts w:ascii="Times New Roman" w:hAnsi="Times New Roman" w:cs="Times New Roman"/>
        </w:rPr>
        <w:t xml:space="preserve">., p. 119. </w:t>
      </w:r>
    </w:p>
  </w:footnote>
  <w:footnote w:id="54">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Ce Traité a été modifié le 29 janvier 2003.</w:t>
      </w:r>
    </w:p>
  </w:footnote>
  <w:footnote w:id="55">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Installée le 27 janvier 1995, la CJ/UEMOA est régie par le Traité de l’UEMOA et le protocole additionnel n°1 sur les organes de contrôle de l’UEMOA. Son siège est à Ouagadougou au Burkina Faso. Pour plus de détails sur l’organisation, la composition et le fonctionnement de la Cour, Voir l’Acte additionnel du 10 mai 1996.</w:t>
      </w:r>
    </w:p>
  </w:footnote>
  <w:footnote w:id="56">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Institué par un Traité signé à KAMPALA (Ouganda) le 5 Septembre 1980, le COMESA, alors même qu’il regroupe vingt- deux (22) Etats membres,  est une première étape vers la création d’un marché commun et enfin de compte d’une Communauté économique de l’Afrique de l’Est et de l’Afrique Australe entre les Etats membres de la zone d’échanges préférentiels. Pour les buts de ce marché, Voy., l’art. 3 du Traité de KAMPALA.</w:t>
      </w:r>
    </w:p>
  </w:footnote>
  <w:footnote w:id="57">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La Communauté Economique et Monétaire de l’Afrique centrale a été instituée par un Traité signé le 16 mars 1994 à N’Djamena. Elle comprend six Etats membres : le Cameroun, le Gabon, le Congo, la Guinée Equatoriale, le Tchad et la Centrafrique.</w:t>
      </w:r>
    </w:p>
  </w:footnote>
  <w:footnote w:id="58">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La CJ/CEMAC qui siège à N’Djamena a été instituée par le Traité de la CEMAC du 16 mars 1994 et est entrée en fonction le 12 avril 2000. Elle comprend une chambre judiciaire et une chambre des comptes et se compose de 13 juges. Pour plus de détails sur l’organisation et le fonctionnement de cette Cour, Voy., la convention régissant la CJ/CEMAC.</w:t>
      </w:r>
    </w:p>
  </w:footnote>
  <w:footnote w:id="59">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Ce Traité a été révisé le 25 juin 2008 à Yaoundé, au Cameroun.</w:t>
      </w:r>
    </w:p>
  </w:footnote>
  <w:footnote w:id="60">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Cité par Saidou Nourou TALL, </w:t>
      </w:r>
      <w:r w:rsidRPr="000D1BD6">
        <w:rPr>
          <w:rFonts w:ascii="Times New Roman" w:hAnsi="Times New Roman" w:cs="Times New Roman"/>
          <w:i/>
        </w:rPr>
        <w:t xml:space="preserve"> D</w:t>
      </w:r>
      <w:r>
        <w:rPr>
          <w:rFonts w:ascii="Times New Roman" w:hAnsi="Times New Roman" w:cs="Times New Roman"/>
          <w:i/>
        </w:rPr>
        <w:t>roit d</w:t>
      </w:r>
      <w:r w:rsidRPr="000D1BD6">
        <w:rPr>
          <w:rFonts w:ascii="Times New Roman" w:hAnsi="Times New Roman" w:cs="Times New Roman"/>
          <w:i/>
        </w:rPr>
        <w:t>es organisations internationales africaines</w:t>
      </w:r>
      <w:r w:rsidRPr="000D1BD6">
        <w:rPr>
          <w:rFonts w:ascii="Times New Roman" w:hAnsi="Times New Roman" w:cs="Times New Roman"/>
        </w:rPr>
        <w:t xml:space="preserve">, </w:t>
      </w:r>
      <w:r w:rsidRPr="000D1BD6">
        <w:rPr>
          <w:rFonts w:ascii="Times New Roman" w:hAnsi="Times New Roman" w:cs="Times New Roman"/>
          <w:i/>
        </w:rPr>
        <w:t>op. cit</w:t>
      </w:r>
      <w:r w:rsidRPr="000D1BD6">
        <w:rPr>
          <w:rFonts w:ascii="Times New Roman" w:hAnsi="Times New Roman" w:cs="Times New Roman"/>
        </w:rPr>
        <w:t>., p. 246.</w:t>
      </w:r>
    </w:p>
  </w:footnote>
  <w:footnote w:id="61">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Ce sont les articles qui mettent en place les institutions, et organisent les rapports entre celles-ci.</w:t>
      </w:r>
    </w:p>
  </w:footnote>
  <w:footnote w:id="62">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Ce sont les articles qui définissent le régime juridique ou les droits et devoirs des membres de l’organisation.</w:t>
      </w:r>
    </w:p>
  </w:footnote>
  <w:footnote w:id="63">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Ce sont les modalités d’engagement, d’entrée en vigueur et révision du Traité.</w:t>
      </w:r>
    </w:p>
  </w:footnote>
  <w:footnote w:id="64">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Saidou Nourou TALL, </w:t>
      </w:r>
      <w:r w:rsidRPr="000D1BD6">
        <w:rPr>
          <w:rFonts w:ascii="Times New Roman" w:hAnsi="Times New Roman" w:cs="Times New Roman"/>
          <w:i/>
        </w:rPr>
        <w:t>D</w:t>
      </w:r>
      <w:r>
        <w:rPr>
          <w:rFonts w:ascii="Times New Roman" w:hAnsi="Times New Roman" w:cs="Times New Roman"/>
          <w:i/>
        </w:rPr>
        <w:t>roit d</w:t>
      </w:r>
      <w:r w:rsidRPr="000D1BD6">
        <w:rPr>
          <w:rFonts w:ascii="Times New Roman" w:hAnsi="Times New Roman" w:cs="Times New Roman"/>
          <w:i/>
        </w:rPr>
        <w:t>es organisations internationales africaines, op. cit</w:t>
      </w:r>
      <w:r w:rsidRPr="000D1BD6">
        <w:rPr>
          <w:rFonts w:ascii="Times New Roman" w:hAnsi="Times New Roman" w:cs="Times New Roman"/>
        </w:rPr>
        <w:t>., p. 246.</w:t>
      </w:r>
    </w:p>
  </w:footnote>
  <w:footnote w:id="65">
    <w:p w:rsidR="00E52745" w:rsidRPr="000D1BD6" w:rsidRDefault="00E52745" w:rsidP="001019F9">
      <w:pPr>
        <w:pStyle w:val="Notedebasdepage"/>
        <w:jc w:val="both"/>
        <w:rPr>
          <w:rFonts w:ascii="Times New Roman" w:hAnsi="Times New Roman" w:cs="Times New Roman"/>
          <w:color w:val="FF0000"/>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15 juillet 1964, </w:t>
      </w:r>
      <w:r w:rsidRPr="000D1BD6">
        <w:rPr>
          <w:rFonts w:ascii="Times New Roman" w:hAnsi="Times New Roman" w:cs="Times New Roman"/>
          <w:i/>
        </w:rPr>
        <w:t>Costa c/ENEL</w:t>
      </w:r>
      <w:r w:rsidRPr="000D1BD6">
        <w:rPr>
          <w:rFonts w:ascii="Times New Roman" w:hAnsi="Times New Roman" w:cs="Times New Roman"/>
        </w:rPr>
        <w:t xml:space="preserve">, Aff. 6/64 ; C.J.C.E., Arrêt du 9 mars 1978, </w:t>
      </w:r>
      <w:r w:rsidRPr="000D1BD6">
        <w:rPr>
          <w:rFonts w:ascii="Times New Roman" w:hAnsi="Times New Roman" w:cs="Times New Roman"/>
          <w:i/>
        </w:rPr>
        <w:t>Simmenthal</w:t>
      </w:r>
      <w:r w:rsidRPr="000D1BD6">
        <w:rPr>
          <w:rFonts w:ascii="Times New Roman" w:hAnsi="Times New Roman" w:cs="Times New Roman"/>
        </w:rPr>
        <w:t xml:space="preserve">, Aff. 106/77 ; Voir dans le même sens C.J/U.E.M.O.A., Avis N°001/2003 du 18 mars 2003, </w:t>
      </w:r>
      <w:r w:rsidRPr="000D1BD6">
        <w:rPr>
          <w:rFonts w:ascii="Times New Roman" w:hAnsi="Times New Roman" w:cs="Times New Roman"/>
          <w:i/>
        </w:rPr>
        <w:t>Demande d’avis de la commission de l’UEMOA relative à la création d’une Cour des comptes au Mali</w:t>
      </w:r>
      <w:r w:rsidRPr="000D1BD6">
        <w:rPr>
          <w:rFonts w:ascii="Times New Roman" w:hAnsi="Times New Roman" w:cs="Times New Roman"/>
        </w:rPr>
        <w:t>, in UEMOA, Recueil de la jurisprudence de la Cour n°01-2004, pp. 75-85.</w:t>
      </w:r>
    </w:p>
  </w:footnote>
  <w:footnote w:id="66">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Abdoulaye SOMA, « Le jeu des protocoles dans le processus juridique de construction d’une cour africaine de protection des droits de l’homme. », </w:t>
      </w:r>
      <w:r w:rsidRPr="000D1BD6">
        <w:rPr>
          <w:rFonts w:ascii="Times New Roman" w:hAnsi="Times New Roman" w:cs="Times New Roman"/>
          <w:i/>
        </w:rPr>
        <w:t>Revue du CAMES/SJP</w:t>
      </w:r>
      <w:r w:rsidRPr="000D1BD6">
        <w:rPr>
          <w:rFonts w:ascii="Times New Roman" w:hAnsi="Times New Roman" w:cs="Times New Roman"/>
        </w:rPr>
        <w:t>, 2015, n°002, p. 1.</w:t>
      </w:r>
    </w:p>
  </w:footnote>
  <w:footnote w:id="67">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Saidou Nourou TALL, </w:t>
      </w:r>
      <w:r w:rsidRPr="000D1BD6">
        <w:rPr>
          <w:rFonts w:ascii="Times New Roman" w:hAnsi="Times New Roman" w:cs="Times New Roman"/>
          <w:i/>
        </w:rPr>
        <w:t>D</w:t>
      </w:r>
      <w:r>
        <w:rPr>
          <w:rFonts w:ascii="Times New Roman" w:hAnsi="Times New Roman" w:cs="Times New Roman"/>
          <w:i/>
        </w:rPr>
        <w:t>roit d</w:t>
      </w:r>
      <w:r w:rsidRPr="000D1BD6">
        <w:rPr>
          <w:rFonts w:ascii="Times New Roman" w:hAnsi="Times New Roman" w:cs="Times New Roman"/>
          <w:i/>
        </w:rPr>
        <w:t>es organisations internationales africaines</w:t>
      </w:r>
      <w:r w:rsidRPr="000D1BD6">
        <w:rPr>
          <w:rFonts w:ascii="Times New Roman" w:hAnsi="Times New Roman" w:cs="Times New Roman"/>
        </w:rPr>
        <w:t xml:space="preserve">, </w:t>
      </w:r>
      <w:r w:rsidRPr="000D1BD6">
        <w:rPr>
          <w:rFonts w:ascii="Times New Roman" w:hAnsi="Times New Roman" w:cs="Times New Roman"/>
          <w:i/>
        </w:rPr>
        <w:t>op. cit</w:t>
      </w:r>
      <w:r w:rsidRPr="000D1BD6">
        <w:rPr>
          <w:rFonts w:ascii="Times New Roman" w:hAnsi="Times New Roman" w:cs="Times New Roman"/>
        </w:rPr>
        <w:t xml:space="preserve">., p. 249. Voy., également Luc Marius IBRIGA, « l’ordre juridique communautaire et plus spécialement le droit dérivé », Séminaire organisé par l’Union Internationale des Avocats en collaboration avec l’ordre des Avocats du Bénin, Cotonou, 2013, accessible en ligne à l’adresse suivante : </w:t>
      </w:r>
      <w:hyperlink r:id="rId5" w:history="1">
        <w:r w:rsidRPr="000D1BD6">
          <w:rPr>
            <w:rStyle w:val="Lienhypertexte"/>
            <w:rFonts w:ascii="Times New Roman" w:hAnsi="Times New Roman" w:cs="Times New Roman"/>
          </w:rPr>
          <w:t>http://www.uianet.org</w:t>
        </w:r>
      </w:hyperlink>
      <w:r w:rsidRPr="000D1BD6">
        <w:rPr>
          <w:rFonts w:ascii="Times New Roman" w:hAnsi="Times New Roman" w:cs="Times New Roman"/>
        </w:rPr>
        <w:t xml:space="preserve"> , consulté le 20 juillet 2017.</w:t>
      </w:r>
    </w:p>
  </w:footnote>
  <w:footnote w:id="68">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Outre le recours en interprétation, ces actes peuvent aussi faire l’objet d’un recours en appréciation de validité. Pour plus de précision en ce qui concerne le recours en appréciation des actes additionnels, Voir CJ/UEMOA, Arrêt du 27 avril 2005, </w:t>
      </w:r>
      <w:r w:rsidRPr="000D1BD6">
        <w:rPr>
          <w:rFonts w:ascii="Times New Roman" w:hAnsi="Times New Roman" w:cs="Times New Roman"/>
          <w:i/>
        </w:rPr>
        <w:t>Eugène Yaї</w:t>
      </w:r>
      <w:r w:rsidRPr="000D1BD6">
        <w:rPr>
          <w:rFonts w:ascii="Times New Roman" w:hAnsi="Times New Roman" w:cs="Times New Roman"/>
        </w:rPr>
        <w:t xml:space="preserve">, Aff. 03/2005 et CJ/UEMOA, Arrêt du 05 avril 2006, </w:t>
      </w:r>
      <w:r w:rsidRPr="000D1BD6">
        <w:rPr>
          <w:rFonts w:ascii="Times New Roman" w:hAnsi="Times New Roman" w:cs="Times New Roman"/>
          <w:i/>
        </w:rPr>
        <w:t>Eugène Yaї</w:t>
      </w:r>
      <w:r w:rsidRPr="000D1BD6">
        <w:rPr>
          <w:rFonts w:ascii="Times New Roman" w:hAnsi="Times New Roman" w:cs="Times New Roman"/>
        </w:rPr>
        <w:t>, Aff. 01/2006. En l’espèce, par acte additionnel n°06/2004 du 15 novembre 2004, la CCEG, par l’entremise de son président en exercice, procédait à la nomination de Monsieur Jérôme BRO GREBE en qualité de membre de la commission en remplacement de Monsieur Eugène Yaї dont il achèvera le mandat. Par requêtes datées du 22 novembre 2004, M. Eugène Yaї saisit la CJ/UEMOA en vue de l’obtention d’un sursis à exécution d’une part et de l’annulation de l’acte additionnel considéré d’autre part. La Cour de justice accorda le sursis à exécution et au fond, par son arrêt 03/2005 du 27 avril 2005, se déclare non seulement compétente pour connaitre de l’acte additionnel en cause, mais l’annule pour inobservance de la procédure d’éviction.</w:t>
      </w:r>
    </w:p>
  </w:footnote>
  <w:footnote w:id="69">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Georges TATY, « La procédure de renvoi préjudiciel en droit communautaire »,</w:t>
      </w:r>
      <w:r w:rsidRPr="000D1BD6">
        <w:rPr>
          <w:rFonts w:ascii="Times New Roman" w:hAnsi="Times New Roman" w:cs="Times New Roman"/>
          <w:i/>
        </w:rPr>
        <w:t xml:space="preserve"> op. cit.,</w:t>
      </w:r>
      <w:r w:rsidRPr="000D1BD6">
        <w:rPr>
          <w:rFonts w:ascii="Times New Roman" w:hAnsi="Times New Roman" w:cs="Times New Roman"/>
        </w:rPr>
        <w:t>p. 30.</w:t>
      </w:r>
    </w:p>
  </w:footnote>
  <w:footnote w:id="70">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Joe VERHOEVEN, </w:t>
      </w:r>
      <w:r w:rsidRPr="000D1BD6">
        <w:rPr>
          <w:rFonts w:ascii="Times New Roman" w:hAnsi="Times New Roman" w:cs="Times New Roman"/>
          <w:i/>
        </w:rPr>
        <w:t>Droit de la Communauté européenne</w:t>
      </w:r>
      <w:r w:rsidRPr="000D1BD6">
        <w:rPr>
          <w:rFonts w:ascii="Times New Roman" w:hAnsi="Times New Roman" w:cs="Times New Roman"/>
        </w:rPr>
        <w:t>, Bruxelles, Larcier s. a, 1996, p. 305.</w:t>
      </w:r>
    </w:p>
  </w:footnote>
  <w:footnote w:id="71">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Yves D. YEHOUESSI, « Communication de la Cour de Justice de l’UEMOA », </w:t>
      </w:r>
      <w:r w:rsidRPr="000D1BD6">
        <w:rPr>
          <w:rFonts w:ascii="Times New Roman" w:hAnsi="Times New Roman" w:cs="Times New Roman"/>
          <w:i/>
        </w:rPr>
        <w:t>in les Cahiers de l’association Ouest africaine des hautes juridictions francophones</w:t>
      </w:r>
      <w:r w:rsidRPr="000D1BD6">
        <w:rPr>
          <w:rFonts w:ascii="Times New Roman" w:hAnsi="Times New Roman" w:cs="Times New Roman"/>
        </w:rPr>
        <w:t>, Actes du Colloque de Ouagadougou du 24 à 26 juin 2003, p. 6.</w:t>
      </w:r>
    </w:p>
  </w:footnote>
  <w:footnote w:id="72">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6 octobre 1970, </w:t>
      </w:r>
      <w:r w:rsidRPr="000D1BD6">
        <w:rPr>
          <w:rFonts w:ascii="Times New Roman" w:hAnsi="Times New Roman" w:cs="Times New Roman"/>
          <w:i/>
        </w:rPr>
        <w:t>Franz Grad</w:t>
      </w:r>
      <w:r w:rsidRPr="000D1BD6">
        <w:rPr>
          <w:rFonts w:ascii="Times New Roman" w:hAnsi="Times New Roman" w:cs="Times New Roman"/>
        </w:rPr>
        <w:t>, Aff. 9/10, Rec. 825.</w:t>
      </w:r>
    </w:p>
  </w:footnote>
  <w:footnote w:id="73">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Guy ISAAC, </w:t>
      </w:r>
      <w:r w:rsidRPr="000D1BD6">
        <w:rPr>
          <w:rFonts w:ascii="Times New Roman" w:hAnsi="Times New Roman" w:cs="Times New Roman"/>
          <w:i/>
        </w:rPr>
        <w:t>Droit Communautaire général</w:t>
      </w:r>
      <w:r w:rsidRPr="000D1BD6">
        <w:rPr>
          <w:rFonts w:ascii="Times New Roman" w:hAnsi="Times New Roman" w:cs="Times New Roman"/>
        </w:rPr>
        <w:t>, Paris, Masson, 1993, 3</w:t>
      </w:r>
      <w:r w:rsidRPr="000D1BD6">
        <w:rPr>
          <w:rFonts w:ascii="Times New Roman" w:hAnsi="Times New Roman" w:cs="Times New Roman"/>
          <w:vertAlign w:val="superscript"/>
        </w:rPr>
        <w:t>ème</w:t>
      </w:r>
      <w:r w:rsidRPr="000D1BD6">
        <w:rPr>
          <w:rFonts w:ascii="Times New Roman" w:hAnsi="Times New Roman" w:cs="Times New Roman"/>
        </w:rPr>
        <w:t xml:space="preserve"> éd., p. 282.</w:t>
      </w:r>
    </w:p>
  </w:footnote>
  <w:footnote w:id="74">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Ce protocole a été adopté à Abuja, au Nigeria.</w:t>
      </w:r>
    </w:p>
  </w:footnote>
  <w:footnote w:id="75">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Voir l’art. 9, § 1 du protocole additionnel du 14 juin 2006 portant amendement du Traité révisé de la CEDEAO.</w:t>
      </w:r>
    </w:p>
  </w:footnote>
  <w:footnote w:id="76">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Guy ISAAC, </w:t>
      </w:r>
      <w:r w:rsidRPr="000D1BD6">
        <w:rPr>
          <w:rFonts w:ascii="Times New Roman" w:hAnsi="Times New Roman" w:cs="Times New Roman"/>
          <w:i/>
        </w:rPr>
        <w:t>Droit Communautaire général, op. cit</w:t>
      </w:r>
      <w:r w:rsidRPr="000D1BD6">
        <w:rPr>
          <w:rFonts w:ascii="Times New Roman" w:hAnsi="Times New Roman" w:cs="Times New Roman"/>
        </w:rPr>
        <w:t>., p. 151.</w:t>
      </w:r>
    </w:p>
  </w:footnote>
  <w:footnote w:id="77">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9 mars  1978, </w:t>
      </w:r>
      <w:r w:rsidRPr="000D1BD6">
        <w:rPr>
          <w:rFonts w:ascii="Times New Roman" w:hAnsi="Times New Roman" w:cs="Times New Roman"/>
          <w:i/>
        </w:rPr>
        <w:t>Simmenthal</w:t>
      </w:r>
      <w:r w:rsidRPr="000D1BD6">
        <w:rPr>
          <w:rFonts w:ascii="Times New Roman" w:hAnsi="Times New Roman" w:cs="Times New Roman"/>
        </w:rPr>
        <w:t>, Aff. 106/77, Rec. 609.</w:t>
      </w:r>
    </w:p>
  </w:footnote>
  <w:footnote w:id="78">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Abdoulaye SOMA, « Les caractères généraux du droit communautaire », </w:t>
      </w:r>
      <w:r w:rsidRPr="00E52745">
        <w:rPr>
          <w:rFonts w:ascii="Times New Roman" w:hAnsi="Times New Roman" w:cs="Times New Roman"/>
          <w:i/>
        </w:rPr>
        <w:t>in</w:t>
      </w:r>
      <w:r w:rsidRPr="000D1BD6">
        <w:rPr>
          <w:rFonts w:ascii="Times New Roman" w:hAnsi="Times New Roman" w:cs="Times New Roman"/>
          <w:i/>
        </w:rPr>
        <w:t>Revue CAMES/SJP</w:t>
      </w:r>
      <w:r w:rsidRPr="000D1BD6">
        <w:rPr>
          <w:rFonts w:ascii="Times New Roman" w:hAnsi="Times New Roman" w:cs="Times New Roman"/>
        </w:rPr>
        <w:t>, 2017, n°001, pp. 3 - 4.</w:t>
      </w:r>
    </w:p>
  </w:footnote>
  <w:footnote w:id="79">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3 Avril 1968, </w:t>
      </w:r>
      <w:r w:rsidRPr="000D1BD6">
        <w:rPr>
          <w:rFonts w:ascii="Times New Roman" w:hAnsi="Times New Roman" w:cs="Times New Roman"/>
          <w:i/>
        </w:rPr>
        <w:t>MolkereiZentrale</w:t>
      </w:r>
      <w:r w:rsidRPr="000D1BD6">
        <w:rPr>
          <w:rFonts w:ascii="Times New Roman" w:hAnsi="Times New Roman" w:cs="Times New Roman"/>
        </w:rPr>
        <w:t>, Aff. 28/67, Rec. 211.</w:t>
      </w:r>
    </w:p>
  </w:footnote>
  <w:footnote w:id="80">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4 décembre 1974, </w:t>
      </w:r>
      <w:r w:rsidRPr="000D1BD6">
        <w:rPr>
          <w:rFonts w:ascii="Times New Roman" w:hAnsi="Times New Roman" w:cs="Times New Roman"/>
          <w:i/>
        </w:rPr>
        <w:t>Van Duyn</w:t>
      </w:r>
      <w:r w:rsidRPr="000D1BD6">
        <w:rPr>
          <w:rFonts w:ascii="Times New Roman" w:hAnsi="Times New Roman" w:cs="Times New Roman"/>
        </w:rPr>
        <w:t>, Aff. 41/74, Rec. 1354.</w:t>
      </w:r>
    </w:p>
  </w:footnote>
  <w:footnote w:id="81">
    <w:p w:rsidR="00E52745" w:rsidRPr="000D1BD6" w:rsidRDefault="00E52745" w:rsidP="00275E8D">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C.J/U.E.M.O.A., Avis N°001/2003 du 18 mars 2003, </w:t>
      </w:r>
      <w:r w:rsidRPr="000D1BD6">
        <w:rPr>
          <w:rFonts w:ascii="Times New Roman" w:hAnsi="Times New Roman" w:cs="Times New Roman"/>
          <w:i/>
        </w:rPr>
        <w:t>Demande d’avis de la commission de l’UEMOA relative à la création d’une Cour des comptes au Mali</w:t>
      </w:r>
      <w:r w:rsidRPr="000D1BD6">
        <w:rPr>
          <w:rFonts w:ascii="Times New Roman" w:hAnsi="Times New Roman" w:cs="Times New Roman"/>
        </w:rPr>
        <w:t xml:space="preserve">, in UEMOA, Recueil de la jurisprudence de la Cour n°01-2004, pp. 75-85. Voir dans le même sens : C.C.J.A., Avis du 30 avril 2001, </w:t>
      </w:r>
      <w:r w:rsidRPr="000D1BD6">
        <w:rPr>
          <w:rFonts w:ascii="Times New Roman" w:hAnsi="Times New Roman" w:cs="Times New Roman"/>
          <w:i/>
        </w:rPr>
        <w:t>Demande d’avis du ministre de la justice ivoirien relative à l’interprétation des dispositions de l’article 10 du Traité OHADA</w:t>
      </w:r>
      <w:r w:rsidRPr="000D1BD6">
        <w:rPr>
          <w:rFonts w:ascii="Times New Roman" w:hAnsi="Times New Roman" w:cs="Times New Roman"/>
        </w:rPr>
        <w:t xml:space="preserve">, cité par Mouhamadou Moustapha MBENGUE, « La suprématie des normes communautaires sur les normes nationales à l’UEMOA et à l’OHADA », </w:t>
      </w:r>
      <w:r w:rsidRPr="000D1BD6">
        <w:rPr>
          <w:rFonts w:ascii="Times New Roman" w:hAnsi="Times New Roman" w:cs="Times New Roman"/>
          <w:i/>
        </w:rPr>
        <w:t>in Association Africa 21</w:t>
      </w:r>
      <w:r w:rsidRPr="000D1BD6">
        <w:rPr>
          <w:rFonts w:ascii="Times New Roman" w:hAnsi="Times New Roman" w:cs="Times New Roman"/>
        </w:rPr>
        <w:t xml:space="preserve">, note n°3, avril 2013, p. 7, accessible en ligne à l’adresse suivante : </w:t>
      </w:r>
      <w:hyperlink r:id="rId6" w:history="1">
        <w:r w:rsidRPr="000D1BD6">
          <w:rPr>
            <w:rStyle w:val="Lienhypertexte"/>
            <w:rFonts w:ascii="Times New Roman" w:hAnsi="Times New Roman" w:cs="Times New Roman"/>
          </w:rPr>
          <w:t>http://www.africa21.org</w:t>
        </w:r>
      </w:hyperlink>
      <w:r w:rsidRPr="000D1BD6">
        <w:rPr>
          <w:rFonts w:ascii="Times New Roman" w:hAnsi="Times New Roman" w:cs="Times New Roman"/>
        </w:rPr>
        <w:t>, consulté le 30 mai 2017.</w:t>
      </w:r>
    </w:p>
  </w:footnote>
  <w:footnote w:id="82">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Voir l’art. 9, § 4 du protocole additionnel du 14 juin 2006 Portant amendement du traité révisé de la CEDEAO.</w:t>
      </w:r>
    </w:p>
  </w:footnote>
  <w:footnote w:id="83">
    <w:p w:rsidR="00E52745" w:rsidRPr="000D1BD6" w:rsidRDefault="00E52745" w:rsidP="002518ED">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En guise d’exemples, on peut retenir le règlement C/REG. 3/4/02 du 23 avril 2002, relatif à la procédure d’agrément des produits originaires au schéma de libéralisation des échanges de la CEDEAO ; le règlement C/REG. 4/4/02 du 23 avril 2002, relatif à l’adoption d’un certificat d’origine des produits originaires de la communauté ; le règlement C/REG. 1/07/04 du 17 juillet 2004, portant détermination de la liste d’exceptions au critère de classification tarifaire, etc.</w:t>
      </w:r>
    </w:p>
  </w:footnote>
  <w:footnote w:id="84">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C’est nous qui soulignons, puisque même si le législateur CEDEAO n’a pas fait mention expresse de cette catégorie des normes dans la disposition qui consacre le recours préjudiciel, il revient toujours au juge CEDEAO, en vertu de la théorie des compétences implicites, le pouvoir d’interpréter ou d’apprécier la validité de ces normes communautaires.</w:t>
      </w:r>
    </w:p>
  </w:footnote>
  <w:footnote w:id="85">
    <w:p w:rsidR="00E52745" w:rsidRPr="000D1BD6" w:rsidRDefault="00E52745" w:rsidP="001019F9">
      <w:pPr>
        <w:pStyle w:val="Notedebasdepage"/>
        <w:jc w:val="both"/>
        <w:rPr>
          <w:rFonts w:ascii="Times New Roman" w:hAnsi="Times New Roman" w:cs="Times New Roman"/>
          <w:color w:val="FF0000"/>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Cet article dispose que : « </w:t>
      </w:r>
      <w:r w:rsidRPr="000D1BD6">
        <w:rPr>
          <w:rFonts w:ascii="Times New Roman" w:hAnsi="Times New Roman" w:cs="Times New Roman"/>
          <w:i/>
        </w:rPr>
        <w:t>les actes de la Communauté sont dénommés … Directives, Décisions, Recommandations et Avis</w:t>
      </w:r>
      <w:r w:rsidRPr="000D1BD6">
        <w:rPr>
          <w:rFonts w:ascii="Times New Roman" w:hAnsi="Times New Roman" w:cs="Times New Roman"/>
        </w:rPr>
        <w:t> ».</w:t>
      </w:r>
    </w:p>
  </w:footnote>
  <w:footnote w:id="86">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Au terme de l’art. 9, § 5, « </w:t>
      </w:r>
      <w:r w:rsidRPr="000D1BD6">
        <w:rPr>
          <w:rFonts w:ascii="Times New Roman" w:hAnsi="Times New Roman" w:cs="Times New Roman"/>
          <w:i/>
        </w:rPr>
        <w:t>les directives lient tous les Etats membres quant aux objectifs à atteindre. Les modalités de réalisation de ces objectifs sont laissées à l’initiative des Etats</w:t>
      </w:r>
      <w:r w:rsidRPr="000D1BD6">
        <w:rPr>
          <w:rFonts w:ascii="Times New Roman" w:hAnsi="Times New Roman" w:cs="Times New Roman"/>
        </w:rPr>
        <w:t> ».</w:t>
      </w:r>
    </w:p>
  </w:footnote>
  <w:footnote w:id="87">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L’art. 9, § 6 indique que : « </w:t>
      </w:r>
      <w:r w:rsidRPr="000D1BD6">
        <w:rPr>
          <w:rFonts w:ascii="Times New Roman" w:hAnsi="Times New Roman" w:cs="Times New Roman"/>
          <w:i/>
        </w:rPr>
        <w:t>les décisions sont obligatoires pour les destinataires qu’elles désignent</w:t>
      </w:r>
      <w:r w:rsidRPr="000D1BD6">
        <w:rPr>
          <w:rFonts w:ascii="Times New Roman" w:hAnsi="Times New Roman" w:cs="Times New Roman"/>
        </w:rPr>
        <w:t> ».</w:t>
      </w:r>
    </w:p>
  </w:footnote>
  <w:footnote w:id="88">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Au terme de l’art. 9, § 7, « </w:t>
      </w:r>
      <w:r w:rsidRPr="000D1BD6">
        <w:rPr>
          <w:rFonts w:ascii="Times New Roman" w:hAnsi="Times New Roman" w:cs="Times New Roman"/>
          <w:i/>
        </w:rPr>
        <w:t>les recommandations et les avis n’ont pas force exécutoire</w:t>
      </w:r>
      <w:r w:rsidRPr="000D1BD6">
        <w:rPr>
          <w:rFonts w:ascii="Times New Roman" w:hAnsi="Times New Roman" w:cs="Times New Roman"/>
        </w:rPr>
        <w:t> ».</w:t>
      </w:r>
    </w:p>
  </w:footnote>
  <w:footnote w:id="89">
    <w:p w:rsidR="00E52745" w:rsidRPr="000D1BD6" w:rsidRDefault="00E52745" w:rsidP="0043799B">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En principe, l’arrêt rendu par la Cour en matière préjudicielle lie à la fois le juge de renvoi et tous les autres juges nationaux qui se trouveront dans une situation identique. Cependant, une exception semble s’imposer en ce qui concerne la catégorie des actes non obligatoire. En effet, bien que la Cour accepte d’être aussi interrogée sur l’interprétation ou la validité des actes non obligatoires (les avis et recommandations), il semble inutile d’envisager ce type de renvoi dans la mesure où, s’agissant des actes dénués de toute force obligatoire, le juge national pourrait sans difficulté en écarter l’application. Pour plus de clarté sur ce point, consultez Jean-Louis CLERGERIE, </w:t>
      </w:r>
      <w:r w:rsidRPr="000D1BD6">
        <w:rPr>
          <w:rFonts w:ascii="Times New Roman" w:hAnsi="Times New Roman" w:cs="Times New Roman"/>
          <w:i/>
        </w:rPr>
        <w:t>Le renvoi préjudiciel</w:t>
      </w:r>
      <w:r w:rsidRPr="000D1BD6">
        <w:rPr>
          <w:rFonts w:ascii="Times New Roman" w:hAnsi="Times New Roman" w:cs="Times New Roman"/>
        </w:rPr>
        <w:t xml:space="preserve">, Ellipses, </w:t>
      </w:r>
      <w:r w:rsidRPr="000D1BD6">
        <w:rPr>
          <w:rFonts w:ascii="Times New Roman" w:hAnsi="Times New Roman" w:cs="Times New Roman"/>
          <w:i/>
        </w:rPr>
        <w:t>op. cit.</w:t>
      </w:r>
      <w:r w:rsidRPr="000D1BD6">
        <w:rPr>
          <w:rFonts w:ascii="Times New Roman" w:hAnsi="Times New Roman" w:cs="Times New Roman"/>
        </w:rPr>
        <w:t>, p. 73.</w:t>
      </w:r>
    </w:p>
  </w:footnote>
  <w:footnote w:id="90">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Pour plus de détails, Voy., Les arts. 40 à 45 du Traité modifié de l’UEMOA.</w:t>
      </w:r>
    </w:p>
  </w:footnote>
  <w:footnote w:id="91">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Pour plus de détails sur la Catégorie des actes obligatoires et non obligatoires, Voir les arts. 40 à 45 du Traité révisé de la CEMAC du 25 juin 2008.</w:t>
      </w:r>
    </w:p>
  </w:footnote>
  <w:footnote w:id="92">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Pour plus de précision, Voir l’article 10 du Traité  COMESA du 5 septembre 1980.</w:t>
      </w:r>
    </w:p>
  </w:footnote>
  <w:footnote w:id="93">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Voy., Serge GUINCHARD et Thierry DEBARD, </w:t>
      </w:r>
      <w:r w:rsidRPr="000D1BD6">
        <w:rPr>
          <w:rFonts w:ascii="Times New Roman" w:hAnsi="Times New Roman" w:cs="Times New Roman"/>
          <w:i/>
        </w:rPr>
        <w:t>Lexiques des termes juridiques</w:t>
      </w:r>
      <w:r w:rsidRPr="000D1BD6">
        <w:rPr>
          <w:rFonts w:ascii="Times New Roman" w:hAnsi="Times New Roman" w:cs="Times New Roman"/>
        </w:rPr>
        <w:t>, 19</w:t>
      </w:r>
      <w:r w:rsidRPr="000D1BD6">
        <w:rPr>
          <w:rFonts w:ascii="Times New Roman" w:hAnsi="Times New Roman" w:cs="Times New Roman"/>
          <w:vertAlign w:val="superscript"/>
        </w:rPr>
        <w:t>ème</w:t>
      </w:r>
      <w:r w:rsidRPr="000D1BD6">
        <w:rPr>
          <w:rFonts w:ascii="Times New Roman" w:hAnsi="Times New Roman" w:cs="Times New Roman"/>
        </w:rPr>
        <w:t xml:space="preserve"> éd., </w:t>
      </w:r>
      <w:r w:rsidRPr="000D1BD6">
        <w:rPr>
          <w:rFonts w:ascii="Times New Roman" w:hAnsi="Times New Roman" w:cs="Times New Roman"/>
          <w:i/>
        </w:rPr>
        <w:t>op. cit</w:t>
      </w:r>
      <w:r w:rsidRPr="000D1BD6">
        <w:rPr>
          <w:rFonts w:ascii="Times New Roman" w:hAnsi="Times New Roman" w:cs="Times New Roman"/>
        </w:rPr>
        <w:t>., p. 501.</w:t>
      </w:r>
    </w:p>
  </w:footnote>
  <w:footnote w:id="94">
    <w:p w:rsidR="00E52745" w:rsidRPr="000D1BD6" w:rsidRDefault="00E52745" w:rsidP="002E48A2">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Il s’agit des parties en litige au principal, c’est-à-dire celles qui sont déterminées comme telles par la juridiction de renvoi, conformément aux règles de procédure nationales.</w:t>
      </w:r>
    </w:p>
  </w:footnote>
  <w:footnote w:id="95">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9 décembre 1965, </w:t>
      </w:r>
      <w:r w:rsidRPr="000D1BD6">
        <w:rPr>
          <w:rFonts w:ascii="Times New Roman" w:hAnsi="Times New Roman" w:cs="Times New Roman"/>
          <w:i/>
        </w:rPr>
        <w:t>HessischeKnappschaft</w:t>
      </w:r>
      <w:r w:rsidRPr="000D1BD6">
        <w:rPr>
          <w:rFonts w:ascii="Times New Roman" w:hAnsi="Times New Roman" w:cs="Times New Roman"/>
        </w:rPr>
        <w:t>, Aff. 44/65, Rec. p. 1191.</w:t>
      </w:r>
    </w:p>
  </w:footnote>
  <w:footnote w:id="96">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Oumar TRAORE,  </w:t>
      </w:r>
      <w:r w:rsidRPr="000D1BD6">
        <w:rPr>
          <w:rFonts w:ascii="Times New Roman" w:hAnsi="Times New Roman" w:cs="Times New Roman"/>
          <w:i/>
        </w:rPr>
        <w:t>L’émergence du contentieux communautaire en Afrique de l’Ouest</w:t>
      </w:r>
      <w:r w:rsidRPr="000D1BD6">
        <w:rPr>
          <w:rFonts w:ascii="Times New Roman" w:hAnsi="Times New Roman" w:cs="Times New Roman"/>
        </w:rPr>
        <w:t>, Mémoire de Master II de recherche en Droit international public, Université Ouaga II, 2015-2016, p. 27.</w:t>
      </w:r>
    </w:p>
  </w:footnote>
  <w:footnote w:id="97">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Jean BOULOUIS et autres, </w:t>
      </w:r>
      <w:r w:rsidRPr="000D1BD6">
        <w:rPr>
          <w:rFonts w:ascii="Times New Roman" w:hAnsi="Times New Roman" w:cs="Times New Roman"/>
          <w:i/>
        </w:rPr>
        <w:t>Contentieux communautaire</w:t>
      </w:r>
      <w:r w:rsidRPr="000D1BD6">
        <w:rPr>
          <w:rFonts w:ascii="Times New Roman" w:hAnsi="Times New Roman" w:cs="Times New Roman"/>
        </w:rPr>
        <w:t>, Paris, Dalloz, 2001, 2</w:t>
      </w:r>
      <w:r w:rsidRPr="000D1BD6">
        <w:rPr>
          <w:rFonts w:ascii="Times New Roman" w:hAnsi="Times New Roman" w:cs="Times New Roman"/>
          <w:vertAlign w:val="superscript"/>
        </w:rPr>
        <w:t>ème</w:t>
      </w:r>
      <w:r w:rsidRPr="000D1BD6">
        <w:rPr>
          <w:rFonts w:ascii="Times New Roman" w:hAnsi="Times New Roman" w:cs="Times New Roman"/>
        </w:rPr>
        <w:t xml:space="preserve"> éd., p. 15 ; voir aussi George TATY, « La procédure de renvoi préjudiciel en droit communautaire », </w:t>
      </w:r>
      <w:r w:rsidRPr="000D1BD6">
        <w:rPr>
          <w:rFonts w:ascii="Times New Roman" w:hAnsi="Times New Roman" w:cs="Times New Roman"/>
          <w:i/>
        </w:rPr>
        <w:t>op. cit.</w:t>
      </w:r>
      <w:r w:rsidRPr="000D1BD6">
        <w:rPr>
          <w:rFonts w:ascii="Times New Roman" w:hAnsi="Times New Roman" w:cs="Times New Roman"/>
        </w:rPr>
        <w:t>, p. 30.</w:t>
      </w:r>
    </w:p>
  </w:footnote>
  <w:footnote w:id="98">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30 mars 1993, </w:t>
      </w:r>
      <w:r w:rsidRPr="000D1BD6">
        <w:rPr>
          <w:rFonts w:ascii="Times New Roman" w:hAnsi="Times New Roman" w:cs="Times New Roman"/>
          <w:i/>
        </w:rPr>
        <w:t>Corbiau c/ Administration des contribuables</w:t>
      </w:r>
      <w:r w:rsidRPr="000D1BD6">
        <w:rPr>
          <w:rFonts w:ascii="Times New Roman" w:hAnsi="Times New Roman" w:cs="Times New Roman"/>
        </w:rPr>
        <w:t>, Aff. C-24/92.</w:t>
      </w:r>
    </w:p>
  </w:footnote>
  <w:footnote w:id="99">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30 juin 1966, </w:t>
      </w:r>
      <w:r w:rsidRPr="000D1BD6">
        <w:rPr>
          <w:rFonts w:ascii="Times New Roman" w:hAnsi="Times New Roman" w:cs="Times New Roman"/>
          <w:i/>
        </w:rPr>
        <w:t>Veuve G. VaassenGobbels</w:t>
      </w:r>
      <w:r w:rsidRPr="000D1BD6">
        <w:rPr>
          <w:rFonts w:ascii="Times New Roman" w:hAnsi="Times New Roman" w:cs="Times New Roman"/>
        </w:rPr>
        <w:t xml:space="preserve">, 61/65, p. 377, G. A., I, n°25 ; C.J.C.E., Arrêt du 2 mars 1999, </w:t>
      </w:r>
      <w:r w:rsidRPr="000D1BD6">
        <w:rPr>
          <w:rFonts w:ascii="Times New Roman" w:hAnsi="Times New Roman" w:cs="Times New Roman"/>
          <w:i/>
        </w:rPr>
        <w:t>Eddline Le-yassini</w:t>
      </w:r>
      <w:r w:rsidRPr="000D1BD6">
        <w:rPr>
          <w:rFonts w:ascii="Times New Roman" w:hAnsi="Times New Roman" w:cs="Times New Roman"/>
        </w:rPr>
        <w:t xml:space="preserve">, Aff. C-416/96, Rec. P. I-1209 ; C.J.C.E., Arrêt du 17 septembre 1997, </w:t>
      </w:r>
      <w:r w:rsidRPr="000D1BD6">
        <w:rPr>
          <w:rFonts w:ascii="Times New Roman" w:hAnsi="Times New Roman" w:cs="Times New Roman"/>
          <w:i/>
        </w:rPr>
        <w:t>DorschConsultIngenieurgesellschaft</w:t>
      </w:r>
      <w:r w:rsidRPr="000D1BD6">
        <w:rPr>
          <w:rFonts w:ascii="Times New Roman" w:hAnsi="Times New Roman" w:cs="Times New Roman"/>
        </w:rPr>
        <w:t xml:space="preserve">, Aff. C-54/96, Rec. I P. 4961 ; C.J.C.E., Arrêt du 14 juin 2001, </w:t>
      </w:r>
      <w:r w:rsidRPr="000D1BD6">
        <w:rPr>
          <w:rFonts w:ascii="Times New Roman" w:hAnsi="Times New Roman" w:cs="Times New Roman"/>
          <w:i/>
        </w:rPr>
        <w:t>Salzmann</w:t>
      </w:r>
      <w:r w:rsidRPr="000D1BD6">
        <w:rPr>
          <w:rFonts w:ascii="Times New Roman" w:hAnsi="Times New Roman" w:cs="Times New Roman"/>
        </w:rPr>
        <w:t xml:space="preserve">, Aff. C-178/99, Rec. I. 4421, point 13. Pour plus de précision sur ces critères d’identification d’une juridiction, consultez aussi, Babacar SARR, « l’implication du juge national dans la mise en œuvre de la règle communautaire », </w:t>
      </w:r>
      <w:r w:rsidRPr="000D1BD6">
        <w:rPr>
          <w:rFonts w:ascii="Times New Roman" w:hAnsi="Times New Roman" w:cs="Times New Roman"/>
          <w:i/>
        </w:rPr>
        <w:t>in nouvelles annales africaines, revue de la faculté des sciences juridiques et politiques de Dakar</w:t>
      </w:r>
      <w:r w:rsidRPr="000D1BD6">
        <w:rPr>
          <w:rFonts w:ascii="Times New Roman" w:hAnsi="Times New Roman" w:cs="Times New Roman"/>
        </w:rPr>
        <w:t xml:space="preserve">, 2007, n°1, pp. 207-230 ; Jean BOULOUIS, </w:t>
      </w:r>
      <w:r w:rsidRPr="000D1BD6">
        <w:rPr>
          <w:rFonts w:ascii="Times New Roman" w:hAnsi="Times New Roman" w:cs="Times New Roman"/>
          <w:i/>
        </w:rPr>
        <w:t>Droit institutionnel de l’Unioneuropéenne</w:t>
      </w:r>
      <w:r w:rsidRPr="000D1BD6">
        <w:rPr>
          <w:rFonts w:ascii="Times New Roman" w:hAnsi="Times New Roman" w:cs="Times New Roman"/>
        </w:rPr>
        <w:t>, Paris, Montchrestien, 1995, 5</w:t>
      </w:r>
      <w:r w:rsidRPr="000D1BD6">
        <w:rPr>
          <w:rFonts w:ascii="Times New Roman" w:hAnsi="Times New Roman" w:cs="Times New Roman"/>
          <w:vertAlign w:val="superscript"/>
        </w:rPr>
        <w:t>ème</w:t>
      </w:r>
      <w:r w:rsidRPr="000D1BD6">
        <w:rPr>
          <w:rFonts w:ascii="Times New Roman" w:hAnsi="Times New Roman" w:cs="Times New Roman"/>
        </w:rPr>
        <w:t xml:space="preserve"> éd., pp. 296-297 ; Richard MILCHIOR, « Droit de la concurrence et renvoi préjudiciel », communication rendue à Bordeaux le 4 avril 2008, p. 8, accessible en ligne à l’adresse suivante : </w:t>
      </w:r>
      <w:hyperlink r:id="rId7" w:history="1">
        <w:r w:rsidRPr="000D1BD6">
          <w:rPr>
            <w:rStyle w:val="Lienhypertexte"/>
            <w:rFonts w:ascii="Times New Roman" w:hAnsi="Times New Roman" w:cs="Times New Roman"/>
          </w:rPr>
          <w:t>http://www.granrut.com</w:t>
        </w:r>
      </w:hyperlink>
      <w:r w:rsidRPr="000D1BD6">
        <w:rPr>
          <w:rFonts w:ascii="Times New Roman" w:hAnsi="Times New Roman" w:cs="Times New Roman"/>
        </w:rPr>
        <w:t>, consulté le 10 avril 2017.</w:t>
      </w:r>
    </w:p>
  </w:footnote>
  <w:footnote w:id="100">
    <w:p w:rsidR="00E52745" w:rsidRPr="000D1BD6" w:rsidRDefault="00E52745" w:rsidP="00956E55">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Cet aspect est relatif au statut de l’organe, lequel doit être de nature à garantir l’indépendance et l’impartialité de l’autorité.</w:t>
      </w:r>
    </w:p>
  </w:footnote>
  <w:footnote w:id="101">
    <w:p w:rsidR="00E52745" w:rsidRPr="000D1BD6" w:rsidRDefault="00E52745" w:rsidP="009C1760">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Cet aspect consiste dans la tâche spécifique de l’autorité. Cette tâche est de trancher les contestations qui lui sont soumises sur la base du droit.</w:t>
      </w:r>
    </w:p>
  </w:footnote>
  <w:footnote w:id="102">
    <w:p w:rsidR="00E52745" w:rsidRPr="000D1BD6" w:rsidRDefault="00E52745" w:rsidP="00652244">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Dans le système communautaire de l’Union européenne, les Cours constitutionnelles ont à plusieurs reprises eu l’occasion de s’adresser à la Cour de justice en matière préjudicielle. En guise d’exemple on peut retenir le renvoi fait par les juges constitutionnels d’Autriche (C.J.C.E., Arrêt du 8 novembre 2001, </w:t>
      </w:r>
      <w:r w:rsidRPr="000D1BD6">
        <w:rPr>
          <w:rFonts w:ascii="Times New Roman" w:hAnsi="Times New Roman" w:cs="Times New Roman"/>
          <w:i/>
        </w:rPr>
        <w:t>Adria-wien Pipeline</w:t>
      </w:r>
      <w:r w:rsidRPr="000D1BD6">
        <w:rPr>
          <w:rFonts w:ascii="Times New Roman" w:hAnsi="Times New Roman" w:cs="Times New Roman"/>
        </w:rPr>
        <w:t xml:space="preserve">, Aff. C-143/99), de Lituanie (C.J.C.E., Arrêt du 9 octobre 2008, </w:t>
      </w:r>
      <w:r w:rsidRPr="000D1BD6">
        <w:rPr>
          <w:rFonts w:ascii="Times New Roman" w:hAnsi="Times New Roman" w:cs="Times New Roman"/>
          <w:i/>
        </w:rPr>
        <w:t>Julius Sabatouskas</w:t>
      </w:r>
      <w:r w:rsidRPr="000D1BD6">
        <w:rPr>
          <w:rFonts w:ascii="Times New Roman" w:hAnsi="Times New Roman" w:cs="Times New Roman"/>
        </w:rPr>
        <w:t xml:space="preserve">, Aff. C-239/07), de la France (C.J.U.E., Arrêt du 30 mai 2013, </w:t>
      </w:r>
      <w:r w:rsidRPr="000D1BD6">
        <w:rPr>
          <w:rFonts w:ascii="Times New Roman" w:hAnsi="Times New Roman" w:cs="Times New Roman"/>
          <w:i/>
        </w:rPr>
        <w:t>Jeremy</w:t>
      </w:r>
      <w:r w:rsidRPr="000D1BD6">
        <w:rPr>
          <w:rFonts w:ascii="Times New Roman" w:hAnsi="Times New Roman" w:cs="Times New Roman"/>
        </w:rPr>
        <w:t>, Aff. C-168/13), de la Belgique (C.J.C.E., Arrêt du 1</w:t>
      </w:r>
      <w:r w:rsidRPr="000D1BD6">
        <w:rPr>
          <w:rFonts w:ascii="Times New Roman" w:hAnsi="Times New Roman" w:cs="Times New Roman"/>
          <w:vertAlign w:val="superscript"/>
        </w:rPr>
        <w:t>er</w:t>
      </w:r>
      <w:r w:rsidRPr="000D1BD6">
        <w:rPr>
          <w:rFonts w:ascii="Times New Roman" w:hAnsi="Times New Roman" w:cs="Times New Roman"/>
        </w:rPr>
        <w:t xml:space="preserve"> mars 2011, </w:t>
      </w:r>
      <w:r w:rsidRPr="000D1BD6">
        <w:rPr>
          <w:rFonts w:ascii="Times New Roman" w:hAnsi="Times New Roman" w:cs="Times New Roman"/>
          <w:i/>
        </w:rPr>
        <w:t>Association belge des consommateurs c/Conseil des ministres</w:t>
      </w:r>
      <w:r w:rsidRPr="000D1BD6">
        <w:rPr>
          <w:rFonts w:ascii="Times New Roman" w:hAnsi="Times New Roman" w:cs="Times New Roman"/>
        </w:rPr>
        <w:t xml:space="preserve">, Aff. 236/09), etc. Pour plus de précision sur ces différents renvois, consultez Marc VERDUSSEN, « Le dialogue entre les Cours constitutionnelles et la Cour de justice de l’Union européenne : vers une justice post-nationale ? », </w:t>
      </w:r>
      <w:r w:rsidRPr="000D1BD6">
        <w:rPr>
          <w:rFonts w:ascii="Times New Roman" w:hAnsi="Times New Roman" w:cs="Times New Roman"/>
          <w:i/>
        </w:rPr>
        <w:t>in IXème congrès mondial de droit constitutionnel-Oslo</w:t>
      </w:r>
      <w:r w:rsidRPr="000D1BD6">
        <w:rPr>
          <w:rFonts w:ascii="Times New Roman" w:hAnsi="Times New Roman" w:cs="Times New Roman"/>
        </w:rPr>
        <w:t xml:space="preserve">, 16-20 Juin 2014, pp. 9-10, accessible en ligne sur : </w:t>
      </w:r>
      <w:hyperlink r:id="rId8" w:history="1">
        <w:r w:rsidRPr="000D1BD6">
          <w:rPr>
            <w:rStyle w:val="Lienhypertexte"/>
            <w:rFonts w:ascii="Times New Roman" w:hAnsi="Times New Roman" w:cs="Times New Roman"/>
          </w:rPr>
          <w:t>http://www.docplayer.fr</w:t>
        </w:r>
      </w:hyperlink>
      <w:r w:rsidRPr="000D1BD6">
        <w:rPr>
          <w:rFonts w:ascii="Times New Roman" w:hAnsi="Times New Roman" w:cs="Times New Roman"/>
        </w:rPr>
        <w:t xml:space="preserve"> , consulté le 10 avril 2017.</w:t>
      </w:r>
    </w:p>
  </w:footnote>
  <w:footnote w:id="103">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Avocat Général DAMASO Ruiz JARABO Colomer le 28 Juin 2001 dans l’Aff. C/17/00 </w:t>
      </w:r>
      <w:r w:rsidRPr="000D1BD6">
        <w:rPr>
          <w:rFonts w:ascii="Times New Roman" w:hAnsi="Times New Roman" w:cs="Times New Roman"/>
          <w:i/>
        </w:rPr>
        <w:t>François Coster</w:t>
      </w:r>
      <w:r w:rsidRPr="000D1BD6">
        <w:rPr>
          <w:rFonts w:ascii="Times New Roman" w:hAnsi="Times New Roman" w:cs="Times New Roman"/>
        </w:rPr>
        <w:t xml:space="preserve">, cité par George TATY, « la procédure de renvoi en droit communautaire », </w:t>
      </w:r>
      <w:r w:rsidRPr="000D1BD6">
        <w:rPr>
          <w:rFonts w:ascii="Times New Roman" w:hAnsi="Times New Roman" w:cs="Times New Roman"/>
          <w:i/>
        </w:rPr>
        <w:t>op. cit</w:t>
      </w:r>
      <w:r w:rsidRPr="000D1BD6">
        <w:rPr>
          <w:rFonts w:ascii="Times New Roman" w:hAnsi="Times New Roman" w:cs="Times New Roman"/>
        </w:rPr>
        <w:t>., p. 30, note n°11.</w:t>
      </w:r>
    </w:p>
  </w:footnote>
  <w:footnote w:id="104">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C’est nous qui mettons les guillemets.</w:t>
      </w:r>
    </w:p>
  </w:footnote>
  <w:footnote w:id="105">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4 décembre 1980, </w:t>
      </w:r>
      <w:r w:rsidRPr="000D1BD6">
        <w:rPr>
          <w:rFonts w:ascii="Times New Roman" w:hAnsi="Times New Roman" w:cs="Times New Roman"/>
          <w:i/>
        </w:rPr>
        <w:t>Procureur de la République Contre Samuel Wilner</w:t>
      </w:r>
      <w:r w:rsidRPr="000D1BD6">
        <w:rPr>
          <w:rFonts w:ascii="Times New Roman" w:hAnsi="Times New Roman" w:cs="Times New Roman"/>
        </w:rPr>
        <w:t xml:space="preserve">, Aff. 54/80 ; C.J.C.E., Arrêt du 24 avril 1980, </w:t>
      </w:r>
      <w:r w:rsidRPr="000D1BD6">
        <w:rPr>
          <w:rFonts w:ascii="Times New Roman" w:hAnsi="Times New Roman" w:cs="Times New Roman"/>
          <w:i/>
        </w:rPr>
        <w:t>Procureur de la République Contre Rénéchatain</w:t>
      </w:r>
      <w:r w:rsidRPr="000D1BD6">
        <w:rPr>
          <w:rFonts w:ascii="Times New Roman" w:hAnsi="Times New Roman" w:cs="Times New Roman"/>
        </w:rPr>
        <w:t>, Aff. 65/79.</w:t>
      </w:r>
    </w:p>
  </w:footnote>
  <w:footnote w:id="106">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17 octobre 1989, </w:t>
      </w:r>
      <w:r w:rsidRPr="000D1BD6">
        <w:rPr>
          <w:rFonts w:ascii="Times New Roman" w:hAnsi="Times New Roman" w:cs="Times New Roman"/>
          <w:i/>
        </w:rPr>
        <w:t>Handelsog</w:t>
      </w:r>
      <w:r w:rsidRPr="000D1BD6">
        <w:rPr>
          <w:rFonts w:ascii="Times New Roman" w:hAnsi="Times New Roman" w:cs="Times New Roman"/>
        </w:rPr>
        <w:t xml:space="preserve">, 109/88 ; Voir aussi Jean BOULOUIS, </w:t>
      </w:r>
      <w:r w:rsidRPr="000D1BD6">
        <w:rPr>
          <w:rFonts w:ascii="Times New Roman" w:hAnsi="Times New Roman" w:cs="Times New Roman"/>
          <w:i/>
        </w:rPr>
        <w:t>Droit institutionnel des Communauté européennes</w:t>
      </w:r>
      <w:r w:rsidRPr="000D1BD6">
        <w:rPr>
          <w:rFonts w:ascii="Times New Roman" w:hAnsi="Times New Roman" w:cs="Times New Roman"/>
        </w:rPr>
        <w:t>, Paris, Montchrestien, 3</w:t>
      </w:r>
      <w:r w:rsidRPr="000D1BD6">
        <w:rPr>
          <w:rFonts w:ascii="Times New Roman" w:hAnsi="Times New Roman" w:cs="Times New Roman"/>
          <w:vertAlign w:val="superscript"/>
        </w:rPr>
        <w:t>ème</w:t>
      </w:r>
      <w:r w:rsidRPr="000D1BD6">
        <w:rPr>
          <w:rFonts w:ascii="Times New Roman" w:hAnsi="Times New Roman" w:cs="Times New Roman"/>
        </w:rPr>
        <w:t xml:space="preserve"> éd., pp. 256-257.</w:t>
      </w:r>
    </w:p>
  </w:footnote>
  <w:footnote w:id="107">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23 mars 1982, </w:t>
      </w:r>
      <w:r w:rsidRPr="000D1BD6">
        <w:rPr>
          <w:rFonts w:ascii="Times New Roman" w:hAnsi="Times New Roman" w:cs="Times New Roman"/>
          <w:i/>
        </w:rPr>
        <w:t>Nordsee</w:t>
      </w:r>
      <w:r w:rsidRPr="000D1BD6">
        <w:rPr>
          <w:rFonts w:ascii="Times New Roman" w:hAnsi="Times New Roman" w:cs="Times New Roman"/>
        </w:rPr>
        <w:t xml:space="preserve">, Aff. 102/81 ; voir aussi Sansan Robert HIEN, </w:t>
      </w:r>
      <w:r w:rsidRPr="000D1BD6">
        <w:rPr>
          <w:rFonts w:ascii="Times New Roman" w:hAnsi="Times New Roman" w:cs="Times New Roman"/>
          <w:i/>
        </w:rPr>
        <w:t>L’individu devant les juridictions communautaires en Afrique de l’Ouest</w:t>
      </w:r>
      <w:r w:rsidRPr="000D1BD6">
        <w:rPr>
          <w:rFonts w:ascii="Times New Roman" w:hAnsi="Times New Roman" w:cs="Times New Roman"/>
        </w:rPr>
        <w:t xml:space="preserve">, </w:t>
      </w:r>
      <w:r w:rsidRPr="000D1BD6">
        <w:rPr>
          <w:rFonts w:ascii="Times New Roman" w:hAnsi="Times New Roman" w:cs="Times New Roman"/>
          <w:i/>
        </w:rPr>
        <w:t>op. cit.,</w:t>
      </w:r>
      <w:r w:rsidRPr="000D1BD6">
        <w:rPr>
          <w:rFonts w:ascii="Times New Roman" w:hAnsi="Times New Roman" w:cs="Times New Roman"/>
        </w:rPr>
        <w:t xml:space="preserve"> p. 28.</w:t>
      </w:r>
    </w:p>
  </w:footnote>
  <w:footnote w:id="108">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Voy., George TATY, </w:t>
      </w:r>
      <w:r w:rsidRPr="000D1BD6">
        <w:rPr>
          <w:rFonts w:ascii="Times New Roman" w:hAnsi="Times New Roman" w:cs="Times New Roman"/>
          <w:i/>
        </w:rPr>
        <w:t>op. cit</w:t>
      </w:r>
      <w:r w:rsidRPr="000D1BD6">
        <w:rPr>
          <w:rFonts w:ascii="Times New Roman" w:hAnsi="Times New Roman" w:cs="Times New Roman"/>
        </w:rPr>
        <w:t xml:space="preserve">., p. 30 ; Richard MILCHIOR, « Droit de la concurrence et renvoi préjudiciel », </w:t>
      </w:r>
      <w:r w:rsidRPr="000D1BD6">
        <w:rPr>
          <w:rFonts w:ascii="Times New Roman" w:hAnsi="Times New Roman" w:cs="Times New Roman"/>
          <w:i/>
        </w:rPr>
        <w:t>op. cit.</w:t>
      </w:r>
      <w:r w:rsidRPr="000D1BD6">
        <w:rPr>
          <w:rFonts w:ascii="Times New Roman" w:hAnsi="Times New Roman" w:cs="Times New Roman"/>
        </w:rPr>
        <w:t>, p. 10.</w:t>
      </w:r>
    </w:p>
  </w:footnote>
  <w:footnote w:id="109">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Voy., CJ/UEMOA, Arrêt du 30 avril 2014, </w:t>
      </w:r>
      <w:r w:rsidRPr="000D1BD6">
        <w:rPr>
          <w:rFonts w:ascii="Times New Roman" w:hAnsi="Times New Roman" w:cs="Times New Roman"/>
          <w:i/>
        </w:rPr>
        <w:t>recours préjudiciel introduit par la Cour de cassation du BF</w:t>
      </w:r>
      <w:r w:rsidRPr="000D1BD6">
        <w:rPr>
          <w:rFonts w:ascii="Times New Roman" w:hAnsi="Times New Roman" w:cs="Times New Roman"/>
        </w:rPr>
        <w:t>, Aff. n°11 RP 001/12, cité par Traore OUMAR,  </w:t>
      </w:r>
      <w:r w:rsidRPr="000D1BD6">
        <w:rPr>
          <w:rFonts w:ascii="Times New Roman" w:hAnsi="Times New Roman" w:cs="Times New Roman"/>
          <w:i/>
        </w:rPr>
        <w:t>L’émergence du contentieux communautaire en Afrique de l’Ouest</w:t>
      </w:r>
      <w:r w:rsidRPr="000D1BD6">
        <w:rPr>
          <w:rFonts w:ascii="Times New Roman" w:hAnsi="Times New Roman" w:cs="Times New Roman"/>
        </w:rPr>
        <w:t xml:space="preserve">, </w:t>
      </w:r>
      <w:r w:rsidRPr="000D1BD6">
        <w:rPr>
          <w:rFonts w:ascii="Times New Roman" w:hAnsi="Times New Roman" w:cs="Times New Roman"/>
          <w:i/>
        </w:rPr>
        <w:t>op. cit.,</w:t>
      </w:r>
      <w:r w:rsidRPr="000D1BD6">
        <w:rPr>
          <w:rFonts w:ascii="Times New Roman" w:hAnsi="Times New Roman" w:cs="Times New Roman"/>
        </w:rPr>
        <w:t xml:space="preserve"> p. 28, note n°171.</w:t>
      </w:r>
    </w:p>
  </w:footnote>
  <w:footnote w:id="110">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Voy., CJ/UEMOA, Arrêt du 30 avril 2014, </w:t>
      </w:r>
      <w:r w:rsidRPr="000D1BD6">
        <w:rPr>
          <w:rFonts w:ascii="Times New Roman" w:hAnsi="Times New Roman" w:cs="Times New Roman"/>
          <w:i/>
        </w:rPr>
        <w:t>recours préjudiciel introduit par la Cour d’appel de Lomé</w:t>
      </w:r>
      <w:r w:rsidRPr="000D1BD6">
        <w:rPr>
          <w:rFonts w:ascii="Times New Roman" w:hAnsi="Times New Roman" w:cs="Times New Roman"/>
        </w:rPr>
        <w:t xml:space="preserve">, Aff. N°13 RP 001/36, cité par Oumar TRAORE, </w:t>
      </w:r>
      <w:r w:rsidRPr="000D1BD6">
        <w:rPr>
          <w:rFonts w:ascii="Times New Roman" w:hAnsi="Times New Roman" w:cs="Times New Roman"/>
          <w:i/>
        </w:rPr>
        <w:t>Ibid</w:t>
      </w:r>
      <w:r w:rsidRPr="000D1BD6">
        <w:rPr>
          <w:rFonts w:ascii="Times New Roman" w:hAnsi="Times New Roman" w:cs="Times New Roman"/>
        </w:rPr>
        <w:t>., note n°172.</w:t>
      </w:r>
    </w:p>
  </w:footnote>
  <w:footnote w:id="111">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Pour cet Avocat, les organes susceptibles d’actionner la technique du recours préjudiciel sont ceux qui relèvent uniquement de la structure judiciaire d’un Etat membre de la Communauté.</w:t>
      </w:r>
    </w:p>
  </w:footnote>
  <w:footnote w:id="112">
    <w:p w:rsidR="00E52745" w:rsidRPr="000D1BD6" w:rsidRDefault="00E52745" w:rsidP="00A96B60">
      <w:pPr>
        <w:pStyle w:val="Notedebasdepage"/>
        <w:tabs>
          <w:tab w:val="left" w:pos="8100"/>
        </w:tabs>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Al. 2 de l’art. 267 du TFUE.</w:t>
      </w:r>
      <w:r>
        <w:rPr>
          <w:rFonts w:ascii="Times New Roman" w:hAnsi="Times New Roman" w:cs="Times New Roman"/>
        </w:rPr>
        <w:tab/>
      </w:r>
    </w:p>
  </w:footnote>
  <w:footnote w:id="113">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Il s’agit du Protocole d’Accra de 19 janvier 2005.</w:t>
      </w:r>
    </w:p>
  </w:footnote>
  <w:footnote w:id="114">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L’art. 12, al. 2 du protocole additionnel n° 1 sur les organes de contrôle de l’UEMOA indique que : « … </w:t>
      </w:r>
      <w:r w:rsidRPr="000D1BD6">
        <w:rPr>
          <w:rFonts w:ascii="Times New Roman" w:hAnsi="Times New Roman" w:cs="Times New Roman"/>
          <w:i/>
        </w:rPr>
        <w:t>Les juridictions nationales statuant en dernier ressort sont tenues de saisir la Cour de Justice. La saisine de la Cour de Justice pour les autres juridictions nationales ou les autorités à fonction juridictionnelle est facultative</w:t>
      </w:r>
      <w:r w:rsidRPr="000D1BD6">
        <w:rPr>
          <w:rFonts w:ascii="Times New Roman" w:hAnsi="Times New Roman" w:cs="Times New Roman"/>
        </w:rPr>
        <w:t> ».</w:t>
      </w:r>
    </w:p>
  </w:footnote>
  <w:footnote w:id="115">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L’article 26 de la Convention de Libreville du 30 janvier 2009 distingue deux (2) catégories de juridictions : les juridictions des Etats membres qui statuent en première instance, c’est-à-dire les juridictions du premier degré et les juridictions des Etats membres qui statuent en dernier ressort. Pour les premières, le renvoi est facultatif ; tandis que pour les secondes, il est obligatoire.</w:t>
      </w:r>
    </w:p>
  </w:footnote>
  <w:footnote w:id="116">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L’art. 30, § 2 du Traité de Kampala de 1980 souligne que : « … </w:t>
      </w:r>
      <w:r w:rsidRPr="000D1BD6">
        <w:rPr>
          <w:rFonts w:ascii="Times New Roman" w:hAnsi="Times New Roman" w:cs="Times New Roman"/>
          <w:i/>
        </w:rPr>
        <w:t>lorsqu’une question telle que celle dont mention au paragraphe 1 du présent article est soulevée dans un litige ouvert auprès d’une Cour ou d’un Tribunal d’un Etat membre, et que le jugement de cette Cour ou de ce tribunal est sans appel ou sans autres solution judiciaire possible dans la législation nationale de cet Etat membre, cette Cour ou ce Tribunal doit renvoyer cette affaire à la Cour</w:t>
      </w:r>
      <w:r w:rsidRPr="000D1BD6">
        <w:rPr>
          <w:rFonts w:ascii="Times New Roman" w:hAnsi="Times New Roman" w:cs="Times New Roman"/>
        </w:rPr>
        <w:t> ».  L’analyse de cette disposition rend le renvoi à la CJ/COMESA obligatoire pour les juridictions nationales supérieures. Pour les juridictions inférieures, elles ont la faculté la plus étendue de saisir la Cour de justice.</w:t>
      </w:r>
    </w:p>
  </w:footnote>
  <w:footnote w:id="117">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L’art. 267, al. 2 du TFUE prévoit une faculté de renvoi à la Cour de justice pour les seules juridictions nationales inférieures ; tandis que l’al. 3 dudit article prévoit une obligation de renvoi à la Cour de justice pour les juridictions nationales supérieures, c’est-à-dire celles  dont les décisions ne sont pas susceptibles d’un recours juridictionnel de droit interne.</w:t>
      </w:r>
    </w:p>
  </w:footnote>
  <w:footnote w:id="118">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Il s’agit des juridictions qui statuent en première instance, c’est-à-dire celles dont les décisions peuvent faire l’objet d’un recours juridictionnel de droit interne. Cette catégorie des juridictions regroupe : les tribunaux d’instance, les Tribunaux de Grande instance et les Cours d’appel et tout autre organe à fonction juridictionnel dont les décisions peuvent faire l’objet d’un recours juridictionnel de droit interne.</w:t>
      </w:r>
    </w:p>
  </w:footnote>
  <w:footnote w:id="119">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Il s’agit des juridictions nationales qui statuent en dernier ressort, c’est-à-dire celles dont les décisions sont insusceptible de recours juridictionnel de droit interne. En droit communautaire de la CEDEAO, cette catégorie des juridictions regroupe: la Cour de cassation et le Conseil d’Etat ; et toute autre juridiction inferieure quand elle statue en dernier ressort dans certains cas particuliers, exception faite en matière de référé. Sur ce point, le juge européen dit que les parties conservent la possibilité de demander à nouveau le renvoi préjudiciel dans le cadre du litige principal pendant devant les juges du fond. Voir C.J.C.E., Arrêt du 24 mai 1997, </w:t>
      </w:r>
      <w:r w:rsidRPr="000D1BD6">
        <w:rPr>
          <w:rFonts w:ascii="Times New Roman" w:hAnsi="Times New Roman" w:cs="Times New Roman"/>
          <w:i/>
        </w:rPr>
        <w:t>Hoffman la Roche</w:t>
      </w:r>
      <w:r w:rsidRPr="000D1BD6">
        <w:rPr>
          <w:rFonts w:ascii="Times New Roman" w:hAnsi="Times New Roman" w:cs="Times New Roman"/>
        </w:rPr>
        <w:t>, Aff. 107/76.</w:t>
      </w:r>
    </w:p>
  </w:footnote>
  <w:footnote w:id="120">
    <w:p w:rsidR="00E52745" w:rsidRPr="000D1BD6" w:rsidRDefault="00E52745" w:rsidP="00A37A70">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Pour de plus amples informations sur les faits de cet arrêt, voir Communiqué de presse du Greffier de la CEDH, « Une demande de renvoi préjudiciel devant la CJUE peut être refusée en termes sommaires », 24 avril 2018, accessible en ligne à l’adresse suivante : </w:t>
      </w:r>
      <w:hyperlink r:id="rId9" w:history="1">
        <w:r w:rsidRPr="000D1BD6">
          <w:rPr>
            <w:rStyle w:val="Lienhypertexte"/>
            <w:rFonts w:ascii="Times New Roman" w:hAnsi="Times New Roman" w:cs="Times New Roman"/>
          </w:rPr>
          <w:t>https://www.echr.coe.int</w:t>
        </w:r>
      </w:hyperlink>
      <w:r w:rsidRPr="000D1BD6">
        <w:rPr>
          <w:rFonts w:ascii="Times New Roman" w:hAnsi="Times New Roman" w:cs="Times New Roman"/>
        </w:rPr>
        <w:t xml:space="preserve"> , consulté le 07 juin 2018.</w:t>
      </w:r>
    </w:p>
  </w:footnote>
  <w:footnote w:id="121">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Jean-Louis CLERGERIE, </w:t>
      </w:r>
      <w:r w:rsidRPr="000D1BD6">
        <w:rPr>
          <w:rFonts w:ascii="Times New Roman" w:hAnsi="Times New Roman" w:cs="Times New Roman"/>
          <w:i/>
        </w:rPr>
        <w:t>Le renvoi préjudiciel</w:t>
      </w:r>
      <w:r w:rsidRPr="000D1BD6">
        <w:rPr>
          <w:rFonts w:ascii="Times New Roman" w:hAnsi="Times New Roman" w:cs="Times New Roman"/>
        </w:rPr>
        <w:t xml:space="preserve">, Ellipses, </w:t>
      </w:r>
      <w:r w:rsidRPr="000D1BD6">
        <w:rPr>
          <w:rFonts w:ascii="Times New Roman" w:hAnsi="Times New Roman" w:cs="Times New Roman"/>
          <w:i/>
        </w:rPr>
        <w:t>op. cit</w:t>
      </w:r>
      <w:r w:rsidRPr="000D1BD6">
        <w:rPr>
          <w:rFonts w:ascii="Times New Roman" w:hAnsi="Times New Roman" w:cs="Times New Roman"/>
        </w:rPr>
        <w:t>., p. 43.</w:t>
      </w:r>
    </w:p>
  </w:footnote>
  <w:footnote w:id="122">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La solution de compromis suppose que le législateur CEDEAO ne devait pas rendre le renvoi obligatoire pour l’ensemble des juridictions nationales (au risque d’entrainer non seulement un allongement exagéré de la durée des instances nationales, mais aussi un encombrement inutile du prétoire de la Cour de justice), ni même facultatif pour celles-ci (au risque d’échouer le rôle d’uniformisation de la Cour en matière communautaire). Il aurait pu le rendre facultatif pour toutes les instances nationales inférieures, et obligatoire pour celles supérieures. Cette solution de compromis est celle adoptée en droit UEMOA (art. 12 du Protocole sur les organes de contrôle de l’UEMOA), en droit de la CEMAC (art. 26 de la Convention de Libreville du 30 janvier 2009), en droit COMESA (art. 30 du Traité de Kampala du 05 septembre 1980) et en droit européen à travers l’art. 267 du TFUE.</w:t>
      </w:r>
    </w:p>
  </w:footnote>
  <w:footnote w:id="123">
    <w:p w:rsidR="00E52745" w:rsidRPr="000D1BD6" w:rsidRDefault="00E52745" w:rsidP="008E0A51">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Narcisse HOUNYO, </w:t>
      </w:r>
      <w:r w:rsidRPr="000D1BD6">
        <w:rPr>
          <w:rFonts w:ascii="Times New Roman" w:hAnsi="Times New Roman" w:cs="Times New Roman"/>
          <w:i/>
        </w:rPr>
        <w:t>La Cour de justice de l’Union Economique et Monétaire Ouest Africaine (UEMOA) dans sa fonction de garante de l’interprétation uniforme des normes communautaires</w:t>
      </w:r>
      <w:r w:rsidRPr="000D1BD6">
        <w:rPr>
          <w:rFonts w:ascii="Times New Roman" w:hAnsi="Times New Roman" w:cs="Times New Roman"/>
        </w:rPr>
        <w:t xml:space="preserve">, Rapport de stage en droit des affaires, </w:t>
      </w:r>
      <w:r w:rsidRPr="000D1BD6">
        <w:rPr>
          <w:rFonts w:ascii="Times New Roman" w:hAnsi="Times New Roman" w:cs="Times New Roman"/>
          <w:i/>
        </w:rPr>
        <w:t>op cit</w:t>
      </w:r>
      <w:r w:rsidRPr="000D1BD6">
        <w:rPr>
          <w:rFonts w:ascii="Times New Roman" w:hAnsi="Times New Roman" w:cs="Times New Roman"/>
        </w:rPr>
        <w:t>., pp. 11-17.</w:t>
      </w:r>
    </w:p>
  </w:footnote>
  <w:footnote w:id="124">
    <w:p w:rsidR="00E52745" w:rsidRPr="000D1BD6" w:rsidRDefault="00E52745" w:rsidP="00ED6CCB">
      <w:pPr>
        <w:spacing w:after="0" w:line="240" w:lineRule="auto"/>
        <w:jc w:val="both"/>
        <w:rPr>
          <w:rFonts w:ascii="Times New Roman" w:hAnsi="Times New Roman" w:cs="Times New Roman"/>
          <w:sz w:val="20"/>
          <w:szCs w:val="20"/>
        </w:rPr>
      </w:pPr>
      <w:r w:rsidRPr="000D1BD6">
        <w:rPr>
          <w:rStyle w:val="Appelnotedebasdep"/>
          <w:rFonts w:ascii="Times New Roman" w:hAnsi="Times New Roman" w:cs="Times New Roman"/>
          <w:sz w:val="20"/>
          <w:szCs w:val="20"/>
        </w:rPr>
        <w:footnoteRef/>
      </w:r>
      <w:r w:rsidRPr="000D1BD6">
        <w:rPr>
          <w:rFonts w:ascii="Times New Roman" w:hAnsi="Times New Roman" w:cs="Times New Roman"/>
          <w:sz w:val="20"/>
          <w:szCs w:val="20"/>
        </w:rPr>
        <w:t xml:space="preserve"> Au terme de l’art. 9, § 1, point a,  « </w:t>
      </w:r>
      <w:r w:rsidRPr="000D1BD6">
        <w:rPr>
          <w:rFonts w:ascii="Times New Roman" w:hAnsi="Times New Roman" w:cs="Times New Roman"/>
          <w:i/>
          <w:sz w:val="20"/>
          <w:szCs w:val="20"/>
        </w:rPr>
        <w:t>la Cour a compétence sur tous les différends qui lui sont soumis et qui ont pour objet l’interprétation … du Traité, des conventions et protocoles de la Communauté</w:t>
      </w:r>
      <w:r w:rsidRPr="000D1BD6">
        <w:rPr>
          <w:rFonts w:ascii="Times New Roman" w:hAnsi="Times New Roman" w:cs="Times New Roman"/>
          <w:sz w:val="20"/>
          <w:szCs w:val="20"/>
        </w:rPr>
        <w:t xml:space="preserve"> ». Le point b dudit article donne à la Cour la compétence pour interpréter les règlements, les directives, les décisions et de « </w:t>
      </w:r>
      <w:r w:rsidRPr="000D1BD6">
        <w:rPr>
          <w:rFonts w:ascii="Times New Roman" w:hAnsi="Times New Roman" w:cs="Times New Roman"/>
          <w:i/>
          <w:sz w:val="20"/>
          <w:szCs w:val="20"/>
        </w:rPr>
        <w:t>tous autres instruments juridiques subsidiaires adoptés dans le cadre de la CEDEAO</w:t>
      </w:r>
      <w:r w:rsidRPr="000D1BD6">
        <w:rPr>
          <w:rFonts w:ascii="Times New Roman" w:hAnsi="Times New Roman" w:cs="Times New Roman"/>
          <w:sz w:val="20"/>
          <w:szCs w:val="20"/>
        </w:rPr>
        <w:t xml:space="preserve"> ». Aussi, le point c du même article ajoute que : « </w:t>
      </w:r>
      <w:r w:rsidRPr="000D1BD6">
        <w:rPr>
          <w:rFonts w:ascii="Times New Roman" w:hAnsi="Times New Roman" w:cs="Times New Roman"/>
          <w:i/>
          <w:sz w:val="20"/>
          <w:szCs w:val="20"/>
        </w:rPr>
        <w:t>… l’appréciation de légalité des règlements, des directives, des décisions et de tous autres instruments juridiques subsidiaires adoptés dans le cadre de la CEDEAO</w:t>
      </w:r>
      <w:r w:rsidRPr="000D1BD6">
        <w:rPr>
          <w:rFonts w:ascii="Times New Roman" w:hAnsi="Times New Roman" w:cs="Times New Roman"/>
          <w:sz w:val="20"/>
          <w:szCs w:val="20"/>
        </w:rPr>
        <w:t xml:space="preserve"> » relève de la compétence de la Cour de justice de la communauté CEDEAO.  Voy., aussi sur ce point, l’art. 10, f du protocole d’Accra de 2005.</w:t>
      </w:r>
    </w:p>
  </w:footnote>
  <w:footnote w:id="125">
    <w:p w:rsidR="00E52745" w:rsidRPr="000D1BD6" w:rsidRDefault="00E52745" w:rsidP="00ED6CCB">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L’art. 22, § 1 dudit protocole dispose qu’ « </w:t>
      </w:r>
      <w:r w:rsidRPr="000D1BD6">
        <w:rPr>
          <w:rFonts w:ascii="Times New Roman" w:hAnsi="Times New Roman" w:cs="Times New Roman"/>
          <w:i/>
        </w:rPr>
        <w:t>aucun différend relatif à l’interprétation … des dispositions du Traité ne peut être soumis à un autre règlement que celui prévu par le traité ou le présent protocole</w:t>
      </w:r>
      <w:r w:rsidRPr="000D1BD6">
        <w:rPr>
          <w:rFonts w:ascii="Times New Roman" w:hAnsi="Times New Roman" w:cs="Times New Roman"/>
        </w:rPr>
        <w:t xml:space="preserve"> ». L’article 9, § 1 ajoute que : « </w:t>
      </w:r>
      <w:r w:rsidRPr="000D1BD6">
        <w:rPr>
          <w:rFonts w:ascii="Times New Roman" w:hAnsi="Times New Roman" w:cs="Times New Roman"/>
          <w:i/>
        </w:rPr>
        <w:t>la Cour assure le respect du droit et des principes d’équité dans l’interprétation et l’application des dispositions du traité</w:t>
      </w:r>
      <w:r w:rsidRPr="000D1BD6">
        <w:rPr>
          <w:rFonts w:ascii="Times New Roman" w:hAnsi="Times New Roman" w:cs="Times New Roman"/>
        </w:rPr>
        <w:t xml:space="preserve"> ».</w:t>
      </w:r>
    </w:p>
  </w:footnote>
  <w:footnote w:id="126">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Roger LECOURT, </w:t>
      </w:r>
      <w:r w:rsidRPr="000D1BD6">
        <w:rPr>
          <w:rFonts w:ascii="Times New Roman" w:hAnsi="Times New Roman" w:cs="Times New Roman"/>
          <w:i/>
        </w:rPr>
        <w:t>inGazette du palais</w:t>
      </w:r>
      <w:r w:rsidRPr="000D1BD6">
        <w:rPr>
          <w:rFonts w:ascii="Times New Roman" w:hAnsi="Times New Roman" w:cs="Times New Roman"/>
        </w:rPr>
        <w:t xml:space="preserve">, 1964, I, doctrine p. 49 à 54, cité par George TATY, </w:t>
      </w:r>
      <w:r w:rsidRPr="000D1BD6">
        <w:rPr>
          <w:rFonts w:ascii="Times New Roman" w:hAnsi="Times New Roman" w:cs="Times New Roman"/>
          <w:i/>
        </w:rPr>
        <w:t>op. cit.,</w:t>
      </w:r>
      <w:r w:rsidRPr="000D1BD6">
        <w:rPr>
          <w:rFonts w:ascii="Times New Roman" w:hAnsi="Times New Roman" w:cs="Times New Roman"/>
        </w:rPr>
        <w:t>p. 29</w:t>
      </w:r>
      <w:r w:rsidRPr="000D1BD6">
        <w:rPr>
          <w:rFonts w:ascii="Times New Roman" w:hAnsi="Times New Roman" w:cs="Times New Roman"/>
          <w:i/>
        </w:rPr>
        <w:t>.  </w:t>
      </w:r>
      <w:r w:rsidRPr="000D1BD6">
        <w:rPr>
          <w:rFonts w:ascii="Times New Roman" w:hAnsi="Times New Roman" w:cs="Times New Roman"/>
        </w:rPr>
        <w:t xml:space="preserve">;et Luc Marius IBRIGA, « La problématique de la juridictionnalisation des processus d’intégration en Afrique de l’Ouest », Communication rendue le 11 Mai 2006 à la faculté de droit de l’université de Rouen, p. 6, note n°19, accessible en ligne à l’adresse suivante : </w:t>
      </w:r>
      <w:hyperlink r:id="rId10" w:history="1">
        <w:r w:rsidRPr="000D1BD6">
          <w:rPr>
            <w:rStyle w:val="Lienhypertexte"/>
            <w:rFonts w:ascii="Times New Roman" w:hAnsi="Times New Roman" w:cs="Times New Roman"/>
          </w:rPr>
          <w:t>http://www.institut-idef.org</w:t>
        </w:r>
      </w:hyperlink>
      <w:r w:rsidRPr="000D1BD6">
        <w:rPr>
          <w:rFonts w:ascii="Times New Roman" w:hAnsi="Times New Roman" w:cs="Times New Roman"/>
        </w:rPr>
        <w:t xml:space="preserve"> , consulté le 02 juin 2017.</w:t>
      </w:r>
    </w:p>
  </w:footnote>
  <w:footnote w:id="127">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15 janvier 1986, </w:t>
      </w:r>
      <w:r w:rsidRPr="000D1BD6">
        <w:rPr>
          <w:rFonts w:ascii="Times New Roman" w:hAnsi="Times New Roman" w:cs="Times New Roman"/>
          <w:i/>
        </w:rPr>
        <w:t>Hurd</w:t>
      </w:r>
      <w:r w:rsidRPr="000D1BD6">
        <w:rPr>
          <w:rFonts w:ascii="Times New Roman" w:hAnsi="Times New Roman" w:cs="Times New Roman"/>
        </w:rPr>
        <w:t xml:space="preserve">, 44/84 ; C.J.C.E., Arrêt du 25 février 1969, </w:t>
      </w:r>
      <w:r w:rsidRPr="000D1BD6">
        <w:rPr>
          <w:rFonts w:ascii="Times New Roman" w:hAnsi="Times New Roman" w:cs="Times New Roman"/>
          <w:i/>
        </w:rPr>
        <w:t>Klomp</w:t>
      </w:r>
      <w:r w:rsidRPr="000D1BD6">
        <w:rPr>
          <w:rFonts w:ascii="Times New Roman" w:hAnsi="Times New Roman" w:cs="Times New Roman"/>
        </w:rPr>
        <w:t>, 23/68.</w:t>
      </w:r>
    </w:p>
  </w:footnote>
  <w:footnote w:id="128">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20 mai 1976, </w:t>
      </w:r>
      <w:r w:rsidRPr="000D1BD6">
        <w:rPr>
          <w:rFonts w:ascii="Times New Roman" w:hAnsi="Times New Roman" w:cs="Times New Roman"/>
          <w:i/>
        </w:rPr>
        <w:t>Mazzalai</w:t>
      </w:r>
      <w:r w:rsidRPr="000D1BD6">
        <w:rPr>
          <w:rFonts w:ascii="Times New Roman" w:hAnsi="Times New Roman" w:cs="Times New Roman"/>
        </w:rPr>
        <w:t>, 111/75.</w:t>
      </w:r>
    </w:p>
  </w:footnote>
  <w:footnote w:id="129">
    <w:p w:rsidR="00E52745" w:rsidRPr="000D1BD6" w:rsidRDefault="00E52745" w:rsidP="00A963E4">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Sansan Robert HIEN, </w:t>
      </w:r>
      <w:r w:rsidRPr="000D1BD6">
        <w:rPr>
          <w:rFonts w:ascii="Times New Roman" w:hAnsi="Times New Roman" w:cs="Times New Roman"/>
          <w:i/>
        </w:rPr>
        <w:t>L’individu devant les juridictions communautaires en Afrique de l’Ouest</w:t>
      </w:r>
      <w:r w:rsidRPr="000D1BD6">
        <w:rPr>
          <w:rFonts w:ascii="Times New Roman" w:hAnsi="Times New Roman" w:cs="Times New Roman"/>
        </w:rPr>
        <w:t xml:space="preserve">, </w:t>
      </w:r>
      <w:r w:rsidRPr="000D1BD6">
        <w:rPr>
          <w:rFonts w:ascii="Times New Roman" w:hAnsi="Times New Roman" w:cs="Times New Roman"/>
          <w:i/>
        </w:rPr>
        <w:t>op. cit</w:t>
      </w:r>
      <w:r w:rsidRPr="000D1BD6">
        <w:rPr>
          <w:rFonts w:ascii="Times New Roman" w:hAnsi="Times New Roman" w:cs="Times New Roman"/>
        </w:rPr>
        <w:t>., p. 29.</w:t>
      </w:r>
    </w:p>
  </w:footnote>
  <w:footnote w:id="130">
    <w:p w:rsidR="00E52745" w:rsidRPr="000D1BD6" w:rsidRDefault="00E52745" w:rsidP="00561E5D">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i/>
        </w:rPr>
        <w:t>Ibid.</w:t>
      </w:r>
    </w:p>
  </w:footnote>
  <w:footnote w:id="131">
    <w:p w:rsidR="00E52745" w:rsidRPr="000D1BD6" w:rsidRDefault="00E52745" w:rsidP="008A0F54">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Sur ce point, la jurisprudence </w:t>
      </w:r>
      <w:r w:rsidRPr="000D1BD6">
        <w:rPr>
          <w:rFonts w:ascii="Times New Roman" w:hAnsi="Times New Roman" w:cs="Times New Roman"/>
          <w:i/>
        </w:rPr>
        <w:t>Leur-Bloem</w:t>
      </w:r>
      <w:r w:rsidRPr="000D1BD6">
        <w:rPr>
          <w:rFonts w:ascii="Times New Roman" w:hAnsi="Times New Roman" w:cs="Times New Roman"/>
        </w:rPr>
        <w:t xml:space="preserve"> (Arrêt du 17 juillet 1997, Aff. C-28/95, cité par Louis DUBOUIS et Claude GUEYDAN, </w:t>
      </w:r>
      <w:r w:rsidRPr="000D1BD6">
        <w:rPr>
          <w:rFonts w:ascii="Times New Roman" w:hAnsi="Times New Roman" w:cs="Times New Roman"/>
          <w:i/>
        </w:rPr>
        <w:t>les grands textes du droit de l’Union européenne</w:t>
      </w:r>
      <w:r w:rsidRPr="000D1BD6">
        <w:rPr>
          <w:rFonts w:ascii="Times New Roman" w:hAnsi="Times New Roman" w:cs="Times New Roman"/>
        </w:rPr>
        <w:t>, Paris, Dalloz, 2010, 8</w:t>
      </w:r>
      <w:r w:rsidRPr="000D1BD6">
        <w:rPr>
          <w:rFonts w:ascii="Times New Roman" w:hAnsi="Times New Roman" w:cs="Times New Roman"/>
          <w:vertAlign w:val="superscript"/>
        </w:rPr>
        <w:t>ème</w:t>
      </w:r>
      <w:r w:rsidRPr="000D1BD6">
        <w:rPr>
          <w:rFonts w:ascii="Times New Roman" w:hAnsi="Times New Roman" w:cs="Times New Roman"/>
        </w:rPr>
        <w:t xml:space="preserve"> éd., p.276.), apporte une exception à cette règle fondamentale. En l’espèce, la Cour dit qu’elle est compétente pour interpréter une disposition nationale reprenant des notions d’origine communautaire. La raison avancée par la Cour est qu’une disposition du droit communautaire doit avoir une interprétation uniforme quelles que soient les conditions dans lesquelles elle est appelée à s’appliquer. Voir dans le même sens Guide pratique pour la mise en œuvre du droit communautaire, p. 56, accessible en ligne sur : </w:t>
      </w:r>
      <w:hyperlink r:id="rId11" w:history="1">
        <w:r w:rsidRPr="000D1BD6">
          <w:rPr>
            <w:rStyle w:val="Lienhypertexte"/>
            <w:rFonts w:ascii="Times New Roman" w:hAnsi="Times New Roman" w:cs="Times New Roman"/>
          </w:rPr>
          <w:t>http://wwwccbe.eu</w:t>
        </w:r>
      </w:hyperlink>
      <w:r w:rsidRPr="000D1BD6">
        <w:rPr>
          <w:rFonts w:ascii="Times New Roman" w:hAnsi="Times New Roman" w:cs="Times New Roman"/>
        </w:rPr>
        <w:t xml:space="preserve"> , consulté le 02 juin 2017 et Rostane MEHDI et Henri LABAYLE, « Dédale au Conseil d’Etat : QPC et renvoi préjudiciel dans l’arrêt Jacob », </w:t>
      </w:r>
      <w:r w:rsidRPr="000D1BD6">
        <w:rPr>
          <w:rFonts w:ascii="Times New Roman" w:hAnsi="Times New Roman" w:cs="Times New Roman"/>
          <w:i/>
        </w:rPr>
        <w:t>in Revue française de droit administratif</w:t>
      </w:r>
      <w:r w:rsidRPr="000D1BD6">
        <w:rPr>
          <w:rFonts w:ascii="Times New Roman" w:hAnsi="Times New Roman" w:cs="Times New Roman"/>
        </w:rPr>
        <w:t xml:space="preserve">, Dalloz, 2016, p. 6, accessible en ligne sur : </w:t>
      </w:r>
      <w:hyperlink r:id="rId12" w:history="1">
        <w:r w:rsidRPr="000D1BD6">
          <w:rPr>
            <w:rStyle w:val="Lienhypertexte"/>
            <w:rFonts w:ascii="Times New Roman" w:hAnsi="Times New Roman" w:cs="Times New Roman"/>
          </w:rPr>
          <w:t>https://halshs.archives-ouvertes.fr</w:t>
        </w:r>
      </w:hyperlink>
      <w:r w:rsidRPr="000D1BD6">
        <w:rPr>
          <w:rFonts w:ascii="Times New Roman" w:hAnsi="Times New Roman" w:cs="Times New Roman"/>
        </w:rPr>
        <w:t xml:space="preserve">, consulté le 25 juin 2018. </w:t>
      </w:r>
    </w:p>
  </w:footnote>
  <w:footnote w:id="132">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Clovis CALLET, « La fonction juridictionnelle à l’épreuve de la question préjudicielle-Regard théorique sur les fonctions de la question préjudicielle », </w:t>
      </w:r>
      <w:r w:rsidRPr="00E52745">
        <w:rPr>
          <w:rFonts w:ascii="Times New Roman" w:hAnsi="Times New Roman" w:cs="Times New Roman"/>
          <w:i/>
        </w:rPr>
        <w:t>in</w:t>
      </w:r>
      <w:r w:rsidRPr="000D1BD6">
        <w:rPr>
          <w:rFonts w:ascii="Times New Roman" w:hAnsi="Times New Roman" w:cs="Times New Roman"/>
          <w:i/>
        </w:rPr>
        <w:t>Revue jurisdoctoria</w:t>
      </w:r>
      <w:r w:rsidRPr="000D1BD6">
        <w:rPr>
          <w:rFonts w:ascii="Times New Roman" w:hAnsi="Times New Roman" w:cs="Times New Roman"/>
        </w:rPr>
        <w:t>, 2011, n°6, p. 20.</w:t>
      </w:r>
    </w:p>
  </w:footnote>
  <w:footnote w:id="133">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Cité par Clovis CALLET, </w:t>
      </w:r>
      <w:r w:rsidRPr="000D1BD6">
        <w:rPr>
          <w:rFonts w:ascii="Times New Roman" w:hAnsi="Times New Roman" w:cs="Times New Roman"/>
          <w:i/>
        </w:rPr>
        <w:t>ibid.</w:t>
      </w:r>
    </w:p>
  </w:footnote>
  <w:footnote w:id="134">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Joe VERHOEVEN, </w:t>
      </w:r>
      <w:r w:rsidRPr="000D1BD6">
        <w:rPr>
          <w:rFonts w:ascii="Times New Roman" w:hAnsi="Times New Roman" w:cs="Times New Roman"/>
          <w:i/>
        </w:rPr>
        <w:t>Droit de la communauté européenne, op. cit</w:t>
      </w:r>
      <w:r w:rsidRPr="000D1BD6">
        <w:rPr>
          <w:rFonts w:ascii="Times New Roman" w:hAnsi="Times New Roman" w:cs="Times New Roman"/>
        </w:rPr>
        <w:t>., p. 299.</w:t>
      </w:r>
    </w:p>
  </w:footnote>
  <w:footnote w:id="135">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Art. 31 de la convention de vienne du 23 mai 1969. Voir aussi les §§ 1, 3 et 4 dudit article.</w:t>
      </w:r>
    </w:p>
  </w:footnote>
  <w:footnote w:id="136">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Ce recours peut porter tant sur les normes du droit primaire que sur celles du droit communautaire dérivé.</w:t>
      </w:r>
    </w:p>
  </w:footnote>
  <w:footnote w:id="137">
    <w:p w:rsidR="00E52745" w:rsidRPr="000D1BD6" w:rsidRDefault="00E52745" w:rsidP="00EC56DA">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22 octobre 1987, </w:t>
      </w:r>
      <w:r w:rsidRPr="000D1BD6">
        <w:rPr>
          <w:rFonts w:ascii="Times New Roman" w:hAnsi="Times New Roman" w:cs="Times New Roman"/>
          <w:i/>
        </w:rPr>
        <w:t>Foto-Frost</w:t>
      </w:r>
      <w:r w:rsidRPr="000D1BD6">
        <w:rPr>
          <w:rFonts w:ascii="Times New Roman" w:hAnsi="Times New Roman" w:cs="Times New Roman"/>
        </w:rPr>
        <w:t xml:space="preserve">, Aff. 314/85, Rec., p. 4199. En l’espèce, la Cour n’a pas manqué de souligner que l’obligation de renvoyer toute question relative à l’appréciation de validité des actes de droit dérivé s’impose même aux juridictions statuant en premier ressort. </w:t>
      </w:r>
    </w:p>
  </w:footnote>
  <w:footnote w:id="138">
    <w:p w:rsidR="00E52745" w:rsidRPr="000D1BD6" w:rsidRDefault="00E52745" w:rsidP="00422F25">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Marc JAEGER, « Les voies de recours sont-elles des vases communicants ? », p. 4, disponible en ligne sur : </w:t>
      </w:r>
      <w:hyperlink r:id="rId13" w:history="1">
        <w:r w:rsidRPr="000D1BD6">
          <w:rPr>
            <w:rStyle w:val="Lienhypertexte"/>
            <w:rFonts w:ascii="Times New Roman" w:hAnsi="Times New Roman" w:cs="Times New Roman"/>
          </w:rPr>
          <w:t>www.cvce.eu</w:t>
        </w:r>
      </w:hyperlink>
      <w:r w:rsidRPr="000D1BD6">
        <w:rPr>
          <w:rFonts w:ascii="Times New Roman" w:hAnsi="Times New Roman" w:cs="Times New Roman"/>
        </w:rPr>
        <w:t xml:space="preserve"> , consulté le 22 octobre 2017.</w:t>
      </w:r>
    </w:p>
  </w:footnote>
  <w:footnote w:id="139">
    <w:p w:rsidR="00E52745" w:rsidRPr="000D1BD6" w:rsidRDefault="00E52745" w:rsidP="00D600A6">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Mertens WILMAR, « Annulation et appréciation de validité dans le traité CEE : convergence ou divergence ? », cité par Jean-Louis CLERGERIE, </w:t>
      </w:r>
      <w:r w:rsidRPr="000D1BD6">
        <w:rPr>
          <w:rFonts w:ascii="Times New Roman" w:hAnsi="Times New Roman" w:cs="Times New Roman"/>
          <w:i/>
        </w:rPr>
        <w:t>Le renvoi préjudiciel</w:t>
      </w:r>
      <w:r w:rsidRPr="000D1BD6">
        <w:rPr>
          <w:rFonts w:ascii="Times New Roman" w:hAnsi="Times New Roman" w:cs="Times New Roman"/>
        </w:rPr>
        <w:t xml:space="preserve">, Ellipses, </w:t>
      </w:r>
      <w:r w:rsidRPr="000D1BD6">
        <w:rPr>
          <w:rFonts w:ascii="Times New Roman" w:hAnsi="Times New Roman" w:cs="Times New Roman"/>
          <w:i/>
        </w:rPr>
        <w:t>op. cit.</w:t>
      </w:r>
      <w:r w:rsidRPr="000D1BD6">
        <w:rPr>
          <w:rFonts w:ascii="Times New Roman" w:hAnsi="Times New Roman" w:cs="Times New Roman"/>
        </w:rPr>
        <w:t>, pp. 138 et 158.</w:t>
      </w:r>
    </w:p>
  </w:footnote>
  <w:footnote w:id="140">
    <w:p w:rsidR="00E52745" w:rsidRPr="000D1BD6" w:rsidRDefault="00E52745" w:rsidP="00780FD7">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Excepté l’hypothèse où le législateur national a aligné sa législation sur le droit communautaire. Pour plus de précision, consultez l’arrêt </w:t>
      </w:r>
      <w:r w:rsidRPr="000D1BD6">
        <w:rPr>
          <w:rFonts w:ascii="Times New Roman" w:hAnsi="Times New Roman" w:cs="Times New Roman"/>
          <w:i/>
        </w:rPr>
        <w:t>Leur-Bloem</w:t>
      </w:r>
      <w:r w:rsidRPr="000D1BD6">
        <w:rPr>
          <w:rFonts w:ascii="Times New Roman" w:hAnsi="Times New Roman" w:cs="Times New Roman"/>
        </w:rPr>
        <w:t xml:space="preserve"> précité.</w:t>
      </w:r>
    </w:p>
  </w:footnote>
  <w:footnote w:id="141">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Raymond GUILLIEN et Jean VINCENT, </w:t>
      </w:r>
      <w:r w:rsidRPr="000D1BD6">
        <w:rPr>
          <w:rFonts w:ascii="Times New Roman" w:hAnsi="Times New Roman" w:cs="Times New Roman"/>
          <w:i/>
        </w:rPr>
        <w:t>Lexique des termes juridiques</w:t>
      </w:r>
      <w:r w:rsidRPr="000D1BD6">
        <w:rPr>
          <w:rFonts w:ascii="Times New Roman" w:hAnsi="Times New Roman" w:cs="Times New Roman"/>
        </w:rPr>
        <w:t>, Paris, Dalloz, 2003, 14</w:t>
      </w:r>
      <w:r w:rsidRPr="000D1BD6">
        <w:rPr>
          <w:rFonts w:ascii="Times New Roman" w:hAnsi="Times New Roman" w:cs="Times New Roman"/>
          <w:vertAlign w:val="superscript"/>
        </w:rPr>
        <w:t>ème</w:t>
      </w:r>
      <w:r w:rsidRPr="000D1BD6">
        <w:rPr>
          <w:rFonts w:ascii="Times New Roman" w:hAnsi="Times New Roman" w:cs="Times New Roman"/>
        </w:rPr>
        <w:t xml:space="preserve"> éd., p. 322 ; Voir aussi Serge GUINCHARD et Thierry DEBARD, </w:t>
      </w:r>
      <w:r w:rsidRPr="000D1BD6">
        <w:rPr>
          <w:rFonts w:ascii="Times New Roman" w:hAnsi="Times New Roman" w:cs="Times New Roman"/>
          <w:i/>
        </w:rPr>
        <w:t>Lexique des termes juridiques</w:t>
      </w:r>
      <w:r w:rsidRPr="000D1BD6">
        <w:rPr>
          <w:rFonts w:ascii="Times New Roman" w:hAnsi="Times New Roman" w:cs="Times New Roman"/>
        </w:rPr>
        <w:t>, 19</w:t>
      </w:r>
      <w:r w:rsidRPr="000D1BD6">
        <w:rPr>
          <w:rFonts w:ascii="Times New Roman" w:hAnsi="Times New Roman" w:cs="Times New Roman"/>
          <w:vertAlign w:val="superscript"/>
        </w:rPr>
        <w:t>ème</w:t>
      </w:r>
      <w:r w:rsidRPr="000D1BD6">
        <w:rPr>
          <w:rFonts w:ascii="Times New Roman" w:hAnsi="Times New Roman" w:cs="Times New Roman"/>
        </w:rPr>
        <w:t xml:space="preserve"> éd., </w:t>
      </w:r>
      <w:r w:rsidRPr="000D1BD6">
        <w:rPr>
          <w:rFonts w:ascii="Times New Roman" w:hAnsi="Times New Roman" w:cs="Times New Roman"/>
          <w:i/>
        </w:rPr>
        <w:t>op. cit</w:t>
      </w:r>
      <w:r w:rsidRPr="000D1BD6">
        <w:rPr>
          <w:rFonts w:ascii="Times New Roman" w:hAnsi="Times New Roman" w:cs="Times New Roman"/>
        </w:rPr>
        <w:t>., p. 475.</w:t>
      </w:r>
    </w:p>
  </w:footnote>
  <w:footnote w:id="142">
    <w:p w:rsidR="00E52745" w:rsidRPr="000D1BD6" w:rsidRDefault="00E52745" w:rsidP="00FB2338">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Dr. V. A. CHRISTIANOS, « Le renvoi préjudiciel et le rôle du juge national », communication rendue en 2009, p. 4, accessible en ligne à l’adresse suivante : </w:t>
      </w:r>
      <w:hyperlink r:id="rId14" w:history="1">
        <w:r w:rsidRPr="000D1BD6">
          <w:rPr>
            <w:rStyle w:val="Lienhypertexte"/>
            <w:rFonts w:ascii="Times New Roman" w:hAnsi="Times New Roman" w:cs="Times New Roman"/>
          </w:rPr>
          <w:t>https://www.era-comm.eu</w:t>
        </w:r>
      </w:hyperlink>
      <w:r w:rsidRPr="000D1BD6">
        <w:rPr>
          <w:rFonts w:ascii="Times New Roman" w:hAnsi="Times New Roman" w:cs="Times New Roman"/>
        </w:rPr>
        <w:t xml:space="preserve"> , consulté le 27 avril 2017.</w:t>
      </w:r>
    </w:p>
  </w:footnote>
  <w:footnote w:id="143">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Edouard LAFERRIERE, </w:t>
      </w:r>
      <w:r w:rsidRPr="000D1BD6">
        <w:rPr>
          <w:rFonts w:ascii="Times New Roman" w:hAnsi="Times New Roman" w:cs="Times New Roman"/>
          <w:i/>
        </w:rPr>
        <w:t>Traité de la juridiction administrative</w:t>
      </w:r>
      <w:r w:rsidRPr="000D1BD6">
        <w:rPr>
          <w:rFonts w:ascii="Times New Roman" w:hAnsi="Times New Roman" w:cs="Times New Roman"/>
        </w:rPr>
        <w:t xml:space="preserve">, Tome 2, 1986, p. 498, cité par George TATY, « la procédure de renvoi préjudiciel en droit communautaire », </w:t>
      </w:r>
      <w:r w:rsidRPr="000D1BD6">
        <w:rPr>
          <w:rFonts w:ascii="Times New Roman" w:hAnsi="Times New Roman" w:cs="Times New Roman"/>
          <w:i/>
        </w:rPr>
        <w:t>op. cit.,</w:t>
      </w:r>
      <w:r w:rsidRPr="000D1BD6">
        <w:rPr>
          <w:rFonts w:ascii="Times New Roman" w:hAnsi="Times New Roman" w:cs="Times New Roman"/>
        </w:rPr>
        <w:t xml:space="preserve"> p. 32.</w:t>
      </w:r>
    </w:p>
  </w:footnote>
  <w:footnote w:id="144">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Daouda FALL et autres, </w:t>
      </w:r>
      <w:r w:rsidRPr="000D1BD6">
        <w:rPr>
          <w:rFonts w:ascii="Times New Roman" w:hAnsi="Times New Roman" w:cs="Times New Roman"/>
          <w:i/>
        </w:rPr>
        <w:t>op. cit.,</w:t>
      </w:r>
      <w:r w:rsidRPr="000D1BD6">
        <w:rPr>
          <w:rFonts w:ascii="Times New Roman" w:hAnsi="Times New Roman" w:cs="Times New Roman"/>
        </w:rPr>
        <w:t xml:space="preserve"> p. 34.</w:t>
      </w:r>
    </w:p>
  </w:footnote>
  <w:footnote w:id="145">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Saidou Nourou TALL, </w:t>
      </w:r>
      <w:r w:rsidRPr="000D1BD6">
        <w:rPr>
          <w:rFonts w:ascii="Times New Roman" w:hAnsi="Times New Roman" w:cs="Times New Roman"/>
          <w:i/>
        </w:rPr>
        <w:t>D</w:t>
      </w:r>
      <w:r>
        <w:rPr>
          <w:rFonts w:ascii="Times New Roman" w:hAnsi="Times New Roman" w:cs="Times New Roman"/>
          <w:i/>
        </w:rPr>
        <w:t>roit d</w:t>
      </w:r>
      <w:r w:rsidRPr="000D1BD6">
        <w:rPr>
          <w:rFonts w:ascii="Times New Roman" w:hAnsi="Times New Roman" w:cs="Times New Roman"/>
          <w:i/>
        </w:rPr>
        <w:t>es organisations internationales africaines, op. cit.,</w:t>
      </w:r>
      <w:r w:rsidRPr="000D1BD6">
        <w:rPr>
          <w:rFonts w:ascii="Times New Roman" w:hAnsi="Times New Roman" w:cs="Times New Roman"/>
        </w:rPr>
        <w:t xml:space="preserve"> p. 191.</w:t>
      </w:r>
    </w:p>
  </w:footnote>
  <w:footnote w:id="146">
    <w:p w:rsidR="00E52745" w:rsidRPr="000D1BD6" w:rsidRDefault="00E52745" w:rsidP="003025F2">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Dr. V. A. CHRISTIANOS, </w:t>
      </w:r>
      <w:r w:rsidRPr="000D1BD6">
        <w:rPr>
          <w:rFonts w:ascii="Times New Roman" w:hAnsi="Times New Roman" w:cs="Times New Roman"/>
          <w:i/>
        </w:rPr>
        <w:t>op. cit.</w:t>
      </w:r>
      <w:r w:rsidRPr="000D1BD6">
        <w:rPr>
          <w:rFonts w:ascii="Times New Roman" w:hAnsi="Times New Roman" w:cs="Times New Roman"/>
        </w:rPr>
        <w:t>, p. 5.</w:t>
      </w:r>
    </w:p>
  </w:footnote>
  <w:footnote w:id="147">
    <w:p w:rsidR="00E52745" w:rsidRPr="000D1BD6" w:rsidRDefault="00E52745" w:rsidP="00156DB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Art. 26 du règlement n°01/2012/CJ abrogeant et remplaçant le règlement n°01/2010/CJ relatif au règlement administratif de la Cour de justice de l’UEMOA. Voir aussi Daouda FALL et autres, </w:t>
      </w:r>
      <w:r w:rsidRPr="000D1BD6">
        <w:rPr>
          <w:rFonts w:ascii="Times New Roman" w:hAnsi="Times New Roman" w:cs="Times New Roman"/>
          <w:i/>
        </w:rPr>
        <w:t>op. cit</w:t>
      </w:r>
      <w:r w:rsidRPr="000D1BD6">
        <w:rPr>
          <w:rFonts w:ascii="Times New Roman" w:hAnsi="Times New Roman" w:cs="Times New Roman"/>
        </w:rPr>
        <w:t>., pp. 34-35.</w:t>
      </w:r>
    </w:p>
  </w:footnote>
  <w:footnote w:id="148">
    <w:p w:rsidR="00E52745" w:rsidRPr="000D1BD6" w:rsidRDefault="00E52745" w:rsidP="00734597">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Narcisse HOUNYO, </w:t>
      </w:r>
      <w:r w:rsidRPr="000D1BD6">
        <w:rPr>
          <w:rFonts w:ascii="Times New Roman" w:hAnsi="Times New Roman" w:cs="Times New Roman"/>
          <w:i/>
        </w:rPr>
        <w:t>La Cour de justice de l’Union Economique et Monétaire Ouest-Africaine dans sa fonction de garante de l’interprétation uniforme des normes communautaires</w:t>
      </w:r>
      <w:r w:rsidRPr="000D1BD6">
        <w:rPr>
          <w:rFonts w:ascii="Times New Roman" w:hAnsi="Times New Roman" w:cs="Times New Roman"/>
        </w:rPr>
        <w:t xml:space="preserve">, </w:t>
      </w:r>
      <w:r w:rsidRPr="000D1BD6">
        <w:rPr>
          <w:rFonts w:ascii="Times New Roman" w:hAnsi="Times New Roman" w:cs="Times New Roman"/>
          <w:i/>
        </w:rPr>
        <w:t>op. cit</w:t>
      </w:r>
      <w:r w:rsidRPr="000D1BD6">
        <w:rPr>
          <w:rFonts w:ascii="Times New Roman" w:hAnsi="Times New Roman" w:cs="Times New Roman"/>
        </w:rPr>
        <w:t>., p. 24.</w:t>
      </w:r>
    </w:p>
  </w:footnote>
  <w:footnote w:id="149">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6 avril 1962, </w:t>
      </w:r>
      <w:r w:rsidRPr="000D1BD6">
        <w:rPr>
          <w:rFonts w:ascii="Times New Roman" w:hAnsi="Times New Roman" w:cs="Times New Roman"/>
          <w:i/>
        </w:rPr>
        <w:t>Bosch</w:t>
      </w:r>
      <w:r w:rsidRPr="000D1BD6">
        <w:rPr>
          <w:rFonts w:ascii="Times New Roman" w:hAnsi="Times New Roman" w:cs="Times New Roman"/>
        </w:rPr>
        <w:t>, Aff. 13/61.</w:t>
      </w:r>
    </w:p>
  </w:footnote>
  <w:footnote w:id="150">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Jean BOULOUIS, </w:t>
      </w:r>
      <w:r w:rsidRPr="000D1BD6">
        <w:rPr>
          <w:rFonts w:ascii="Times New Roman" w:hAnsi="Times New Roman" w:cs="Times New Roman"/>
          <w:i/>
        </w:rPr>
        <w:t>Droit institutionnel de l’Union européenne</w:t>
      </w:r>
      <w:r w:rsidRPr="000D1BD6">
        <w:rPr>
          <w:rFonts w:ascii="Times New Roman" w:hAnsi="Times New Roman" w:cs="Times New Roman"/>
        </w:rPr>
        <w:t>, 5</w:t>
      </w:r>
      <w:r w:rsidRPr="000D1BD6">
        <w:rPr>
          <w:rFonts w:ascii="Times New Roman" w:hAnsi="Times New Roman" w:cs="Times New Roman"/>
          <w:vertAlign w:val="superscript"/>
        </w:rPr>
        <w:t>ème</w:t>
      </w:r>
      <w:r w:rsidRPr="000D1BD6">
        <w:rPr>
          <w:rFonts w:ascii="Times New Roman" w:hAnsi="Times New Roman" w:cs="Times New Roman"/>
        </w:rPr>
        <w:t xml:space="preserve"> éd., </w:t>
      </w:r>
      <w:r w:rsidRPr="000D1BD6">
        <w:rPr>
          <w:rFonts w:ascii="Times New Roman" w:hAnsi="Times New Roman" w:cs="Times New Roman"/>
          <w:i/>
        </w:rPr>
        <w:t>op. cit.,</w:t>
      </w:r>
      <w:r w:rsidRPr="000D1BD6">
        <w:rPr>
          <w:rFonts w:ascii="Times New Roman" w:hAnsi="Times New Roman" w:cs="Times New Roman"/>
        </w:rPr>
        <w:t xml:space="preserve"> p. 301 ; Voir aussi Jean-Louis CLERGERIE, </w:t>
      </w:r>
      <w:r w:rsidRPr="000D1BD6">
        <w:rPr>
          <w:rFonts w:ascii="Times New Roman" w:hAnsi="Times New Roman" w:cs="Times New Roman"/>
          <w:i/>
        </w:rPr>
        <w:t>Le renvoi préjudiciel</w:t>
      </w:r>
      <w:r w:rsidRPr="000D1BD6">
        <w:rPr>
          <w:rFonts w:ascii="Times New Roman" w:hAnsi="Times New Roman" w:cs="Times New Roman"/>
        </w:rPr>
        <w:t xml:space="preserve">, Ellipses, </w:t>
      </w:r>
      <w:r w:rsidRPr="000D1BD6">
        <w:rPr>
          <w:rFonts w:ascii="Times New Roman" w:hAnsi="Times New Roman" w:cs="Times New Roman"/>
          <w:i/>
        </w:rPr>
        <w:t>op. cit</w:t>
      </w:r>
      <w:r w:rsidRPr="000D1BD6">
        <w:rPr>
          <w:rFonts w:ascii="Times New Roman" w:hAnsi="Times New Roman" w:cs="Times New Roman"/>
        </w:rPr>
        <w:t>., p. 96.</w:t>
      </w:r>
    </w:p>
  </w:footnote>
  <w:footnote w:id="151">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10 mars 1981, </w:t>
      </w:r>
      <w:r w:rsidRPr="000D1BD6">
        <w:rPr>
          <w:rFonts w:ascii="Times New Roman" w:hAnsi="Times New Roman" w:cs="Times New Roman"/>
          <w:i/>
        </w:rPr>
        <w:t>Irish Creamery</w:t>
      </w:r>
      <w:r w:rsidRPr="000D1BD6">
        <w:rPr>
          <w:rFonts w:ascii="Times New Roman" w:hAnsi="Times New Roman" w:cs="Times New Roman"/>
        </w:rPr>
        <w:t xml:space="preserve">, Aff. 36 et 71/80, Point 9, cité par Joe VERHOEVEN, </w:t>
      </w:r>
      <w:r w:rsidRPr="000D1BD6">
        <w:rPr>
          <w:rFonts w:ascii="Times New Roman" w:hAnsi="Times New Roman" w:cs="Times New Roman"/>
          <w:i/>
        </w:rPr>
        <w:t>Droit de la communauté européenne, op. cit.,</w:t>
      </w:r>
      <w:r w:rsidRPr="000D1BD6">
        <w:rPr>
          <w:rFonts w:ascii="Times New Roman" w:hAnsi="Times New Roman" w:cs="Times New Roman"/>
        </w:rPr>
        <w:t xml:space="preserve"> p. 317 ; voir dans le même sens Dr. V. A. CHRISTIANOS, </w:t>
      </w:r>
      <w:r w:rsidRPr="000D1BD6">
        <w:rPr>
          <w:rFonts w:ascii="Times New Roman" w:hAnsi="Times New Roman" w:cs="Times New Roman"/>
          <w:i/>
        </w:rPr>
        <w:t>op. cit.</w:t>
      </w:r>
      <w:r w:rsidRPr="000D1BD6">
        <w:rPr>
          <w:rFonts w:ascii="Times New Roman" w:hAnsi="Times New Roman" w:cs="Times New Roman"/>
        </w:rPr>
        <w:t>, p. 2.</w:t>
      </w:r>
    </w:p>
  </w:footnote>
  <w:footnote w:id="152">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11 Juin 1987</w:t>
      </w:r>
      <w:r w:rsidRPr="000D1BD6">
        <w:rPr>
          <w:rFonts w:ascii="Times New Roman" w:hAnsi="Times New Roman" w:cs="Times New Roman"/>
          <w:i/>
        </w:rPr>
        <w:t>, Pretore di Salo</w:t>
      </w:r>
      <w:r w:rsidRPr="000D1BD6">
        <w:rPr>
          <w:rFonts w:ascii="Times New Roman" w:hAnsi="Times New Roman" w:cs="Times New Roman"/>
        </w:rPr>
        <w:t>, Aff. 14/86.</w:t>
      </w:r>
    </w:p>
  </w:footnote>
  <w:footnote w:id="153">
    <w:p w:rsidR="00E52745" w:rsidRPr="000D1BD6" w:rsidRDefault="00E52745" w:rsidP="00573C4E">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Narcisse HOUNYO, </w:t>
      </w:r>
      <w:r w:rsidRPr="000D1BD6">
        <w:rPr>
          <w:rFonts w:ascii="Times New Roman" w:hAnsi="Times New Roman" w:cs="Times New Roman"/>
          <w:i/>
        </w:rPr>
        <w:t>La Cour de justice de l’Union Economique et Monétaire Ouest Africaine dans sa fonction de garante de l’interprétation uniforme des normes communautaires</w:t>
      </w:r>
      <w:r w:rsidRPr="000D1BD6">
        <w:rPr>
          <w:rFonts w:ascii="Times New Roman" w:hAnsi="Times New Roman" w:cs="Times New Roman"/>
        </w:rPr>
        <w:t xml:space="preserve">, </w:t>
      </w:r>
      <w:r w:rsidRPr="000D1BD6">
        <w:rPr>
          <w:rFonts w:ascii="Times New Roman" w:hAnsi="Times New Roman" w:cs="Times New Roman"/>
          <w:i/>
        </w:rPr>
        <w:t>op. cit.</w:t>
      </w:r>
      <w:r w:rsidRPr="000D1BD6">
        <w:rPr>
          <w:rFonts w:ascii="Times New Roman" w:hAnsi="Times New Roman" w:cs="Times New Roman"/>
        </w:rPr>
        <w:t>, p. 23.</w:t>
      </w:r>
    </w:p>
  </w:footnote>
  <w:footnote w:id="154">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Le cas du renvoi abusif, c’est-à-dire ne rentrant pas dans le cadre de sa mission juridictionnelle.</w:t>
      </w:r>
    </w:p>
  </w:footnote>
  <w:footnote w:id="155">
    <w:p w:rsidR="00E52745" w:rsidRPr="000D1BD6" w:rsidRDefault="00E52745" w:rsidP="0062799B">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Voir l’art. 28 du règlement N°01/2012/CJ abrogeant et remplaçant le règlement n°01/2010/CJ relatif au règlement administratif de la CJ/UEMOA.</w:t>
      </w:r>
    </w:p>
  </w:footnote>
  <w:footnote w:id="156">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16 décembre 1981, </w:t>
      </w:r>
      <w:r w:rsidRPr="000D1BD6">
        <w:rPr>
          <w:rFonts w:ascii="Times New Roman" w:hAnsi="Times New Roman" w:cs="Times New Roman"/>
          <w:i/>
        </w:rPr>
        <w:t>Foglia,</w:t>
      </w:r>
      <w:r w:rsidRPr="000D1BD6">
        <w:rPr>
          <w:rFonts w:ascii="Times New Roman" w:hAnsi="Times New Roman" w:cs="Times New Roman"/>
        </w:rPr>
        <w:t xml:space="preserve"> 244/80. En l’espèce la Cour notait que si elle «</w:t>
      </w:r>
      <w:r w:rsidRPr="000D1BD6">
        <w:rPr>
          <w:rFonts w:ascii="Times New Roman" w:hAnsi="Times New Roman" w:cs="Times New Roman"/>
          <w:i/>
        </w:rPr>
        <w:t>doit pouvoir s’en remettre de la façon la plus large à l’appréciation du juge national en ce qui concerne la nécessité des questions qui lui sont adressées, elle doit être mise en mesure de porter toute appréciation inhérente à l’accomplissement de sa propre fonction, notamment en vue de vérifier, le cas échéant, comme toute juridiction en a l’obligation sa propre compétence</w:t>
      </w:r>
      <w:r w:rsidRPr="000D1BD6">
        <w:rPr>
          <w:rFonts w:ascii="Times New Roman" w:hAnsi="Times New Roman" w:cs="Times New Roman"/>
        </w:rPr>
        <w:t xml:space="preserve"> », cité par Alain GROSJEAN, « La recevabilité du renvoi préjudiciel et reformulation par la Cour de Justice de l’Union Européenne », </w:t>
      </w:r>
      <w:r w:rsidRPr="000D1BD6">
        <w:rPr>
          <w:rFonts w:ascii="Times New Roman" w:hAnsi="Times New Roman" w:cs="Times New Roman"/>
          <w:i/>
        </w:rPr>
        <w:t>Séminaire UIA de Sofia</w:t>
      </w:r>
      <w:r w:rsidRPr="000D1BD6">
        <w:rPr>
          <w:rFonts w:ascii="Times New Roman" w:hAnsi="Times New Roman" w:cs="Times New Roman"/>
        </w:rPr>
        <w:t xml:space="preserve">, 25 et 26 Septembre 2015, p.1, accessible en ligne à l’adresse suivante : </w:t>
      </w:r>
      <w:hyperlink r:id="rId15" w:history="1">
        <w:r w:rsidRPr="000D1BD6">
          <w:rPr>
            <w:rStyle w:val="Lienhypertexte"/>
            <w:rFonts w:ascii="Times New Roman" w:hAnsi="Times New Roman" w:cs="Times New Roman"/>
          </w:rPr>
          <w:t>https://www.google.com</w:t>
        </w:r>
      </w:hyperlink>
      <w:r w:rsidRPr="000D1BD6">
        <w:rPr>
          <w:rFonts w:ascii="Times New Roman" w:hAnsi="Times New Roman" w:cs="Times New Roman"/>
        </w:rPr>
        <w:t xml:space="preserve"> , consulté le 25 juillet 2017.</w:t>
      </w:r>
    </w:p>
  </w:footnote>
  <w:footnote w:id="157">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14 janvier 1982, </w:t>
      </w:r>
      <w:r w:rsidRPr="000D1BD6">
        <w:rPr>
          <w:rFonts w:ascii="Times New Roman" w:hAnsi="Times New Roman" w:cs="Times New Roman"/>
          <w:i/>
        </w:rPr>
        <w:t>Reina c/Landerkreditbank</w:t>
      </w:r>
      <w:r w:rsidRPr="000D1BD6">
        <w:rPr>
          <w:rFonts w:ascii="Times New Roman" w:hAnsi="Times New Roman" w:cs="Times New Roman"/>
        </w:rPr>
        <w:t>, Aff. C- 143/99.</w:t>
      </w:r>
    </w:p>
  </w:footnote>
  <w:footnote w:id="158">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31 mai 2005</w:t>
      </w:r>
      <w:r w:rsidRPr="000D1BD6">
        <w:rPr>
          <w:rFonts w:ascii="Times New Roman" w:hAnsi="Times New Roman" w:cs="Times New Roman"/>
          <w:i/>
        </w:rPr>
        <w:t>, Syfait</w:t>
      </w:r>
      <w:r w:rsidRPr="000D1BD6">
        <w:rPr>
          <w:rFonts w:ascii="Times New Roman" w:hAnsi="Times New Roman" w:cs="Times New Roman"/>
        </w:rPr>
        <w:t xml:space="preserve"> E.A., C-53/03, cité Alain GROSJEAN, « La recevabilité du renvoi préjudiciel et reformulation par la Cour de Justice de l’Union européenne », </w:t>
      </w:r>
      <w:r w:rsidRPr="000D1BD6">
        <w:rPr>
          <w:rFonts w:ascii="Times New Roman" w:hAnsi="Times New Roman" w:cs="Times New Roman"/>
          <w:i/>
        </w:rPr>
        <w:t>op. cit</w:t>
      </w:r>
      <w:r w:rsidRPr="000D1BD6">
        <w:rPr>
          <w:rFonts w:ascii="Times New Roman" w:hAnsi="Times New Roman" w:cs="Times New Roman"/>
        </w:rPr>
        <w:t>., p. 2.</w:t>
      </w:r>
    </w:p>
  </w:footnote>
  <w:footnote w:id="159">
    <w:p w:rsidR="00E52745" w:rsidRPr="000D1BD6" w:rsidRDefault="00E52745" w:rsidP="001F012A">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Ord., du 7 avril 1995, </w:t>
      </w:r>
      <w:r w:rsidRPr="000D1BD6">
        <w:rPr>
          <w:rFonts w:ascii="Times New Roman" w:hAnsi="Times New Roman" w:cs="Times New Roman"/>
          <w:i/>
        </w:rPr>
        <w:t>Grau Gomis</w:t>
      </w:r>
      <w:r w:rsidRPr="000D1BD6">
        <w:rPr>
          <w:rFonts w:ascii="Times New Roman" w:hAnsi="Times New Roman" w:cs="Times New Roman"/>
        </w:rPr>
        <w:t xml:space="preserve">, Aff. 176/94, cité par Alain GROJEAN, </w:t>
      </w:r>
      <w:r w:rsidRPr="000D1BD6">
        <w:rPr>
          <w:rFonts w:ascii="Times New Roman" w:hAnsi="Times New Roman" w:cs="Times New Roman"/>
          <w:i/>
        </w:rPr>
        <w:t>op. cit.</w:t>
      </w:r>
      <w:r w:rsidRPr="000D1BD6">
        <w:rPr>
          <w:rFonts w:ascii="Times New Roman" w:hAnsi="Times New Roman" w:cs="Times New Roman"/>
        </w:rPr>
        <w:t xml:space="preserve">, p. 2. </w:t>
      </w:r>
    </w:p>
  </w:footnote>
  <w:footnote w:id="160">
    <w:p w:rsidR="00E52745" w:rsidRPr="000D1BD6" w:rsidRDefault="00E52745" w:rsidP="00535986">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23 Janvier 1975, </w:t>
      </w:r>
      <w:r w:rsidRPr="000D1BD6">
        <w:rPr>
          <w:rFonts w:ascii="Times New Roman" w:hAnsi="Times New Roman" w:cs="Times New Roman"/>
          <w:i/>
        </w:rPr>
        <w:t>Van der Hulst</w:t>
      </w:r>
      <w:r w:rsidRPr="000D1BD6">
        <w:rPr>
          <w:rFonts w:ascii="Times New Roman" w:hAnsi="Times New Roman" w:cs="Times New Roman"/>
        </w:rPr>
        <w:t xml:space="preserve"> : Point 12 « </w:t>
      </w:r>
      <w:r w:rsidRPr="000D1BD6">
        <w:rPr>
          <w:rFonts w:ascii="Times New Roman" w:hAnsi="Times New Roman" w:cs="Times New Roman"/>
          <w:i/>
        </w:rPr>
        <w:t>dans le cadre d’une procédure en vertu de l’article 177 du traité, la Cour ne saurait trancher un tel différend qui relève de la compétence du juge national comme, d’ailleurs, toute autre appréciation des faits de la cause</w:t>
      </w:r>
      <w:r w:rsidRPr="000D1BD6">
        <w:rPr>
          <w:rFonts w:ascii="Times New Roman" w:hAnsi="Times New Roman" w:cs="Times New Roman"/>
        </w:rPr>
        <w:t xml:space="preserve"> ». </w:t>
      </w:r>
    </w:p>
  </w:footnote>
  <w:footnote w:id="161">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Daouda FALL et autres, </w:t>
      </w:r>
      <w:r w:rsidRPr="000D1BD6">
        <w:rPr>
          <w:rFonts w:ascii="Times New Roman" w:hAnsi="Times New Roman" w:cs="Times New Roman"/>
          <w:i/>
        </w:rPr>
        <w:t xml:space="preserve">op.cit., </w:t>
      </w:r>
      <w:r w:rsidRPr="000D1BD6">
        <w:rPr>
          <w:rFonts w:ascii="Times New Roman" w:hAnsi="Times New Roman" w:cs="Times New Roman"/>
        </w:rPr>
        <w:t>p. 35.</w:t>
      </w:r>
    </w:p>
  </w:footnote>
  <w:footnote w:id="162">
    <w:p w:rsidR="00E52745" w:rsidRPr="000D1BD6" w:rsidRDefault="00E52745" w:rsidP="00AB7D9C">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Dr. V. A. CHRISTIANOS, </w:t>
      </w:r>
      <w:r w:rsidRPr="000D1BD6">
        <w:rPr>
          <w:rFonts w:ascii="Times New Roman" w:hAnsi="Times New Roman" w:cs="Times New Roman"/>
          <w:i/>
        </w:rPr>
        <w:t>Le renvoi préjudiciel et le rôle du juge national</w:t>
      </w:r>
      <w:r w:rsidRPr="000D1BD6">
        <w:rPr>
          <w:rFonts w:ascii="Times New Roman" w:hAnsi="Times New Roman" w:cs="Times New Roman"/>
        </w:rPr>
        <w:t xml:space="preserve">, </w:t>
      </w:r>
      <w:r w:rsidRPr="000D1BD6">
        <w:rPr>
          <w:rFonts w:ascii="Times New Roman" w:hAnsi="Times New Roman" w:cs="Times New Roman"/>
          <w:i/>
        </w:rPr>
        <w:t>op. cit.,</w:t>
      </w:r>
      <w:r w:rsidRPr="000D1BD6">
        <w:rPr>
          <w:rFonts w:ascii="Times New Roman" w:hAnsi="Times New Roman" w:cs="Times New Roman"/>
        </w:rPr>
        <w:t>p. 5.</w:t>
      </w:r>
    </w:p>
  </w:footnote>
  <w:footnote w:id="163">
    <w:p w:rsidR="00E52745" w:rsidRPr="000D1BD6" w:rsidRDefault="00E52745" w:rsidP="00D95081">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Jiri MALENOVSKY, « Comment traiter le retrait tardif d’une demande de décision préjudicielle », Luxembourg, </w:t>
      </w:r>
      <w:r w:rsidRPr="000D1BD6">
        <w:rPr>
          <w:rFonts w:ascii="Times New Roman" w:hAnsi="Times New Roman" w:cs="Times New Roman"/>
          <w:i/>
        </w:rPr>
        <w:t>in jurisprudence</w:t>
      </w:r>
      <w:r w:rsidRPr="000D1BD6">
        <w:rPr>
          <w:rFonts w:ascii="Times New Roman" w:hAnsi="Times New Roman" w:cs="Times New Roman"/>
        </w:rPr>
        <w:t xml:space="preserve">, 2013, 20 (2), p. 8, accessible en ligne sur : </w:t>
      </w:r>
      <w:hyperlink r:id="rId16" w:history="1">
        <w:r w:rsidRPr="000D1BD6">
          <w:rPr>
            <w:rStyle w:val="Lienhypertexte"/>
            <w:rFonts w:ascii="Times New Roman" w:hAnsi="Times New Roman" w:cs="Times New Roman"/>
          </w:rPr>
          <w:t>https://www.mruni.eu</w:t>
        </w:r>
      </w:hyperlink>
      <w:r w:rsidRPr="000D1BD6">
        <w:rPr>
          <w:rFonts w:ascii="Times New Roman" w:hAnsi="Times New Roman" w:cs="Times New Roman"/>
        </w:rPr>
        <w:t xml:space="preserve"> , consulté le 10 avril 2017. </w:t>
      </w:r>
    </w:p>
  </w:footnote>
  <w:footnote w:id="164">
    <w:p w:rsidR="00E52745" w:rsidRPr="000D1BD6" w:rsidRDefault="00E52745">
      <w:pPr>
        <w:pStyle w:val="Notedebasdepage"/>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26 janvier 1993, </w:t>
      </w:r>
      <w:r w:rsidRPr="000D1BD6">
        <w:rPr>
          <w:rFonts w:ascii="Times New Roman" w:hAnsi="Times New Roman" w:cs="Times New Roman"/>
          <w:i/>
        </w:rPr>
        <w:t>Telemarsicabruzzo</w:t>
      </w:r>
      <w:r w:rsidRPr="000D1BD6">
        <w:rPr>
          <w:rFonts w:ascii="Times New Roman" w:hAnsi="Times New Roman" w:cs="Times New Roman"/>
        </w:rPr>
        <w:t xml:space="preserve">, points 4 et s. </w:t>
      </w:r>
    </w:p>
  </w:footnote>
  <w:footnote w:id="165">
    <w:p w:rsidR="00E52745" w:rsidRPr="000D1BD6" w:rsidRDefault="00E52745" w:rsidP="00B554D7">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Art. 94, point a du règlement de procédure de la Cour de justice de l’Union européenne du 25 septembre 2012, tel que modifié le 18 juin 2013 et le 19 juillet 2016. </w:t>
      </w:r>
    </w:p>
  </w:footnote>
  <w:footnote w:id="166">
    <w:p w:rsidR="00E52745" w:rsidRPr="000D1BD6" w:rsidRDefault="00E52745" w:rsidP="00160484">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Art. 94, point c du règlement de procédure précité. </w:t>
      </w:r>
    </w:p>
  </w:footnote>
  <w:footnote w:id="167">
    <w:p w:rsidR="00E52745" w:rsidRPr="000D1BD6" w:rsidRDefault="00E52745" w:rsidP="00BB3D6C">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Art. 94, point b du règlement de procédure précité. </w:t>
      </w:r>
    </w:p>
  </w:footnote>
  <w:footnote w:id="168">
    <w:p w:rsidR="00E52745" w:rsidRPr="000D1BD6" w:rsidRDefault="00E52745" w:rsidP="009E2CC7">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Dr. V. A. CHRISTIANOS, </w:t>
      </w:r>
      <w:r w:rsidRPr="000D1BD6">
        <w:rPr>
          <w:rFonts w:ascii="Times New Roman" w:hAnsi="Times New Roman" w:cs="Times New Roman"/>
          <w:i/>
        </w:rPr>
        <w:t>Le renvoi préjudiciel et le rôle du juge national</w:t>
      </w:r>
      <w:r w:rsidRPr="000D1BD6">
        <w:rPr>
          <w:rFonts w:ascii="Times New Roman" w:hAnsi="Times New Roman" w:cs="Times New Roman"/>
        </w:rPr>
        <w:t xml:space="preserve">, </w:t>
      </w:r>
      <w:r w:rsidRPr="000D1BD6">
        <w:rPr>
          <w:rFonts w:ascii="Times New Roman" w:hAnsi="Times New Roman" w:cs="Times New Roman"/>
          <w:i/>
        </w:rPr>
        <w:t>op. cit</w:t>
      </w:r>
      <w:r w:rsidRPr="000D1BD6">
        <w:rPr>
          <w:rFonts w:ascii="Times New Roman" w:hAnsi="Times New Roman" w:cs="Times New Roman"/>
        </w:rPr>
        <w:t>., p. 4.</w:t>
      </w:r>
    </w:p>
  </w:footnote>
  <w:footnote w:id="169">
    <w:p w:rsidR="00E52745" w:rsidRPr="000D1BD6" w:rsidRDefault="00E52745" w:rsidP="00343A5D">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Narcisse HOUNYO, </w:t>
      </w:r>
      <w:r w:rsidRPr="000D1BD6">
        <w:rPr>
          <w:rFonts w:ascii="Times New Roman" w:hAnsi="Times New Roman" w:cs="Times New Roman"/>
          <w:i/>
        </w:rPr>
        <w:t>La Cour de justice de l’Union Economique et Monétaire Ouest Africaine dans sa fonction de garante de l’interprétation uniforme des normes communautaires</w:t>
      </w:r>
      <w:r w:rsidRPr="000D1BD6">
        <w:rPr>
          <w:rFonts w:ascii="Times New Roman" w:hAnsi="Times New Roman" w:cs="Times New Roman"/>
        </w:rPr>
        <w:t xml:space="preserve">, </w:t>
      </w:r>
      <w:r w:rsidRPr="000D1BD6">
        <w:rPr>
          <w:rFonts w:ascii="Times New Roman" w:hAnsi="Times New Roman" w:cs="Times New Roman"/>
          <w:i/>
        </w:rPr>
        <w:t>op. cit.</w:t>
      </w:r>
      <w:r w:rsidRPr="000D1BD6">
        <w:rPr>
          <w:rFonts w:ascii="Times New Roman" w:hAnsi="Times New Roman" w:cs="Times New Roman"/>
        </w:rPr>
        <w:t xml:space="preserve">, p. 25 ; voir dans le même sens Juliette RAMBAUD, « Poser une question préjudicielle à la CJUE afin de faire affirmer par la Cour le droit au logement et de renforcer le droit au logement de manière générale », </w:t>
      </w:r>
      <w:r w:rsidRPr="000D1BD6">
        <w:rPr>
          <w:rFonts w:ascii="Times New Roman" w:hAnsi="Times New Roman" w:cs="Times New Roman"/>
          <w:i/>
        </w:rPr>
        <w:t>in note de synthèse sur l’étude du droit de l’UE et de ses rapports potentiels au droit du/au logement pour l’espace solidarité, Fondation Abbé pierre</w:t>
      </w:r>
      <w:r w:rsidRPr="000D1BD6">
        <w:rPr>
          <w:rFonts w:ascii="Times New Roman" w:hAnsi="Times New Roman" w:cs="Times New Roman"/>
        </w:rPr>
        <w:t xml:space="preserve">, juillet 2012, accessible en ligne sur : </w:t>
      </w:r>
      <w:hyperlink r:id="rId17" w:history="1">
        <w:r w:rsidRPr="000D1BD6">
          <w:rPr>
            <w:rStyle w:val="Lienhypertexte"/>
            <w:rFonts w:ascii="Times New Roman" w:hAnsi="Times New Roman" w:cs="Times New Roman"/>
          </w:rPr>
          <w:t>https://www.gisti.org</w:t>
        </w:r>
      </w:hyperlink>
      <w:r w:rsidRPr="000D1BD6">
        <w:rPr>
          <w:rFonts w:ascii="Times New Roman" w:hAnsi="Times New Roman" w:cs="Times New Roman"/>
        </w:rPr>
        <w:t xml:space="preserve"> , consulté le 05 mars 2017.</w:t>
      </w:r>
    </w:p>
  </w:footnote>
  <w:footnote w:id="170">
    <w:p w:rsidR="00E52745" w:rsidRPr="000D1BD6" w:rsidRDefault="00E52745" w:rsidP="00E477D1">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Xavier MAGNON, « La QPC est-elle une question préjudicielle ? », </w:t>
      </w:r>
      <w:r w:rsidRPr="000D1BD6">
        <w:rPr>
          <w:rFonts w:ascii="Times New Roman" w:hAnsi="Times New Roman" w:cs="Times New Roman"/>
          <w:i/>
        </w:rPr>
        <w:t>in Centre de droit comparé</w:t>
      </w:r>
      <w:r w:rsidRPr="000D1BD6">
        <w:rPr>
          <w:rFonts w:ascii="Times New Roman" w:hAnsi="Times New Roman" w:cs="Times New Roman"/>
        </w:rPr>
        <w:t xml:space="preserve">, 2015, p. 7, accessible en ligne à l’adresse suivante : </w:t>
      </w:r>
      <w:hyperlink r:id="rId18" w:history="1">
        <w:r w:rsidRPr="000D1BD6">
          <w:rPr>
            <w:rStyle w:val="Lienhypertexte"/>
            <w:rFonts w:ascii="Times New Roman" w:hAnsi="Times New Roman" w:cs="Times New Roman"/>
          </w:rPr>
          <w:t>https://www.publications.ut-capitole.fr</w:t>
        </w:r>
      </w:hyperlink>
      <w:r w:rsidRPr="000D1BD6">
        <w:rPr>
          <w:rFonts w:ascii="Times New Roman" w:hAnsi="Times New Roman" w:cs="Times New Roman"/>
        </w:rPr>
        <w:t>, consulté le 7 Juin 2018.</w:t>
      </w:r>
    </w:p>
  </w:footnote>
  <w:footnote w:id="171">
    <w:p w:rsidR="00E52745" w:rsidRPr="000D1BD6" w:rsidRDefault="00E52745" w:rsidP="0054666A">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Alain GROSJEAN, « La recevabilité du renvoi préjudiciel et reformulation par la Cour de justice de l’Union européenne », </w:t>
      </w:r>
      <w:r w:rsidRPr="000D1BD6">
        <w:rPr>
          <w:rFonts w:ascii="Times New Roman" w:hAnsi="Times New Roman" w:cs="Times New Roman"/>
          <w:i/>
        </w:rPr>
        <w:t>op. cit.</w:t>
      </w:r>
      <w:r w:rsidRPr="000D1BD6">
        <w:rPr>
          <w:rFonts w:ascii="Times New Roman" w:hAnsi="Times New Roman" w:cs="Times New Roman"/>
        </w:rPr>
        <w:t>, p. 3.</w:t>
      </w:r>
    </w:p>
  </w:footnote>
  <w:footnote w:id="172">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Voir C.J.C.E., Arrêt du 16 juillet 1992, </w:t>
      </w:r>
      <w:r w:rsidRPr="000D1BD6">
        <w:rPr>
          <w:rFonts w:ascii="Times New Roman" w:hAnsi="Times New Roman" w:cs="Times New Roman"/>
          <w:i/>
        </w:rPr>
        <w:t>Lourenco Dias</w:t>
      </w:r>
      <w:r w:rsidRPr="000D1BD6">
        <w:rPr>
          <w:rFonts w:ascii="Times New Roman" w:hAnsi="Times New Roman" w:cs="Times New Roman"/>
        </w:rPr>
        <w:t xml:space="preserve">, C-343/90, Point 17 ; C.J.C.E., Arrêt du 16 Juillet 1992, </w:t>
      </w:r>
      <w:r w:rsidRPr="000D1BD6">
        <w:rPr>
          <w:rFonts w:ascii="Times New Roman" w:hAnsi="Times New Roman" w:cs="Times New Roman"/>
          <w:i/>
        </w:rPr>
        <w:t>Meilick,</w:t>
      </w:r>
      <w:r w:rsidRPr="000D1BD6">
        <w:rPr>
          <w:rFonts w:ascii="Times New Roman" w:hAnsi="Times New Roman" w:cs="Times New Roman"/>
        </w:rPr>
        <w:t xml:space="preserve"> Point 25.</w:t>
      </w:r>
    </w:p>
  </w:footnote>
  <w:footnote w:id="173">
    <w:p w:rsidR="00E52745" w:rsidRPr="000D1BD6" w:rsidRDefault="00E52745" w:rsidP="004F7E8A">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16 juin 1981, </w:t>
      </w:r>
      <w:r w:rsidRPr="000D1BD6">
        <w:rPr>
          <w:rFonts w:ascii="Times New Roman" w:hAnsi="Times New Roman" w:cs="Times New Roman"/>
          <w:i/>
        </w:rPr>
        <w:t>Maria Salonia c/Giorio</w:t>
      </w:r>
      <w:r w:rsidRPr="000D1BD6">
        <w:rPr>
          <w:rFonts w:ascii="Times New Roman" w:hAnsi="Times New Roman" w:cs="Times New Roman"/>
        </w:rPr>
        <w:t xml:space="preserve">, Aff. 126/80, point 6, cité par Narcisse HOUNYO, </w:t>
      </w:r>
      <w:r w:rsidRPr="000D1BD6">
        <w:rPr>
          <w:rFonts w:ascii="Times New Roman" w:hAnsi="Times New Roman" w:cs="Times New Roman"/>
          <w:i/>
        </w:rPr>
        <w:t>op. cit.</w:t>
      </w:r>
      <w:r w:rsidRPr="000D1BD6">
        <w:rPr>
          <w:rFonts w:ascii="Times New Roman" w:hAnsi="Times New Roman" w:cs="Times New Roman"/>
        </w:rPr>
        <w:t>, p. 25.</w:t>
      </w:r>
    </w:p>
  </w:footnote>
  <w:footnote w:id="174">
    <w:p w:rsidR="00E52745" w:rsidRPr="000D1BD6" w:rsidRDefault="00E52745" w:rsidP="001019F9">
      <w:pPr>
        <w:pStyle w:val="Notedebasdepage"/>
        <w:jc w:val="both"/>
        <w:rPr>
          <w:rFonts w:ascii="Times New Roman" w:hAnsi="Times New Roman" w:cs="Times New Roman"/>
          <w:i/>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Ord., du 9 Août 1994, </w:t>
      </w:r>
      <w:r w:rsidRPr="000D1BD6">
        <w:rPr>
          <w:rFonts w:ascii="Times New Roman" w:hAnsi="Times New Roman" w:cs="Times New Roman"/>
          <w:i/>
        </w:rPr>
        <w:t>La Pyramide SARL</w:t>
      </w:r>
      <w:r w:rsidRPr="000D1BD6">
        <w:rPr>
          <w:rFonts w:ascii="Times New Roman" w:hAnsi="Times New Roman" w:cs="Times New Roman"/>
        </w:rPr>
        <w:t xml:space="preserve"> ; </w:t>
      </w:r>
    </w:p>
  </w:footnote>
  <w:footnote w:id="175">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9 Février 1995, </w:t>
      </w:r>
      <w:r w:rsidRPr="000D1BD6">
        <w:rPr>
          <w:rFonts w:ascii="Times New Roman" w:hAnsi="Times New Roman" w:cs="Times New Roman"/>
          <w:i/>
        </w:rPr>
        <w:t>Société d’importation Edouard Leclerc- Siplecc. TF1 Publicité SA et M6 Publicité SA</w:t>
      </w:r>
      <w:r w:rsidRPr="000D1BD6">
        <w:rPr>
          <w:rFonts w:ascii="Times New Roman" w:hAnsi="Times New Roman" w:cs="Times New Roman"/>
        </w:rPr>
        <w:t>.</w:t>
      </w:r>
    </w:p>
  </w:footnote>
  <w:footnote w:id="176">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Frédéric KRENC, « La comparaison des systèmes de procédure communautaire avec ceux de la convention européenne des droits de l’homme », </w:t>
      </w:r>
      <w:r w:rsidRPr="000D1BD6">
        <w:rPr>
          <w:rFonts w:ascii="Times New Roman" w:hAnsi="Times New Roman" w:cs="Times New Roman"/>
          <w:i/>
        </w:rPr>
        <w:t>op. cit</w:t>
      </w:r>
      <w:r w:rsidRPr="000D1BD6">
        <w:rPr>
          <w:rFonts w:ascii="Times New Roman" w:hAnsi="Times New Roman" w:cs="Times New Roman"/>
        </w:rPr>
        <w:t>., p. 118.</w:t>
      </w:r>
    </w:p>
  </w:footnote>
  <w:footnote w:id="177">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15 juin 1972, </w:t>
      </w:r>
      <w:r w:rsidRPr="000D1BD6">
        <w:rPr>
          <w:rFonts w:ascii="Times New Roman" w:hAnsi="Times New Roman" w:cs="Times New Roman"/>
          <w:i/>
        </w:rPr>
        <w:t>FratelliGrassi</w:t>
      </w:r>
      <w:r w:rsidRPr="000D1BD6">
        <w:rPr>
          <w:rFonts w:ascii="Times New Roman" w:hAnsi="Times New Roman" w:cs="Times New Roman"/>
        </w:rPr>
        <w:t>, Aff. 5/72.</w:t>
      </w:r>
    </w:p>
  </w:footnote>
  <w:footnote w:id="178">
    <w:p w:rsidR="00E52745" w:rsidRPr="000D1BD6" w:rsidRDefault="00E52745" w:rsidP="0041493D">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Narcisse HOUNYO, </w:t>
      </w:r>
      <w:r w:rsidRPr="000D1BD6">
        <w:rPr>
          <w:rFonts w:ascii="Times New Roman" w:hAnsi="Times New Roman" w:cs="Times New Roman"/>
          <w:i/>
        </w:rPr>
        <w:t>La Cour de justice de l’Union Economique et Monétaire Ouest Africaine dans sa fonction de garante de l’interprétation uniforme des normes communautaires</w:t>
      </w:r>
      <w:r w:rsidRPr="000D1BD6">
        <w:rPr>
          <w:rFonts w:ascii="Times New Roman" w:hAnsi="Times New Roman" w:cs="Times New Roman"/>
        </w:rPr>
        <w:t xml:space="preserve">, </w:t>
      </w:r>
      <w:r w:rsidRPr="000D1BD6">
        <w:rPr>
          <w:rFonts w:ascii="Times New Roman" w:hAnsi="Times New Roman" w:cs="Times New Roman"/>
          <w:i/>
        </w:rPr>
        <w:t>op. cit.</w:t>
      </w:r>
      <w:r w:rsidRPr="000D1BD6">
        <w:rPr>
          <w:rFonts w:ascii="Times New Roman" w:hAnsi="Times New Roman" w:cs="Times New Roman"/>
        </w:rPr>
        <w:t>, p. 26.</w:t>
      </w:r>
    </w:p>
  </w:footnote>
  <w:footnote w:id="179">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Guy ISAAC, </w:t>
      </w:r>
      <w:r w:rsidRPr="000D1BD6">
        <w:rPr>
          <w:rFonts w:ascii="Times New Roman" w:hAnsi="Times New Roman" w:cs="Times New Roman"/>
          <w:i/>
        </w:rPr>
        <w:t>Droit communautaire général</w:t>
      </w:r>
      <w:r w:rsidRPr="000D1BD6">
        <w:rPr>
          <w:rFonts w:ascii="Times New Roman" w:hAnsi="Times New Roman" w:cs="Times New Roman"/>
        </w:rPr>
        <w:t>, 3</w:t>
      </w:r>
      <w:r w:rsidRPr="000D1BD6">
        <w:rPr>
          <w:rFonts w:ascii="Times New Roman" w:hAnsi="Times New Roman" w:cs="Times New Roman"/>
          <w:vertAlign w:val="superscript"/>
        </w:rPr>
        <w:t>ème</w:t>
      </w:r>
      <w:r w:rsidRPr="000D1BD6">
        <w:rPr>
          <w:rFonts w:ascii="Times New Roman" w:hAnsi="Times New Roman" w:cs="Times New Roman"/>
        </w:rPr>
        <w:t xml:space="preserve"> éd., </w:t>
      </w:r>
      <w:r w:rsidRPr="000D1BD6">
        <w:rPr>
          <w:rFonts w:ascii="Times New Roman" w:hAnsi="Times New Roman" w:cs="Times New Roman"/>
          <w:i/>
        </w:rPr>
        <w:t>op. cit.</w:t>
      </w:r>
      <w:r w:rsidRPr="000D1BD6">
        <w:rPr>
          <w:rFonts w:ascii="Times New Roman" w:hAnsi="Times New Roman" w:cs="Times New Roman"/>
        </w:rPr>
        <w:t xml:space="preserve">, p. 290 ; C.J.C.E., Arrêt du 29 novembre 1978, </w:t>
      </w:r>
      <w:r w:rsidRPr="000D1BD6">
        <w:rPr>
          <w:rFonts w:ascii="Times New Roman" w:hAnsi="Times New Roman" w:cs="Times New Roman"/>
          <w:i/>
        </w:rPr>
        <w:t>Pigs Marketing</w:t>
      </w:r>
      <w:r w:rsidRPr="000D1BD6">
        <w:rPr>
          <w:rFonts w:ascii="Times New Roman" w:hAnsi="Times New Roman" w:cs="Times New Roman"/>
        </w:rPr>
        <w:t>, Aff. 83/78.</w:t>
      </w:r>
    </w:p>
  </w:footnote>
  <w:footnote w:id="180">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Joe VERHOEVEN, </w:t>
      </w:r>
      <w:r w:rsidRPr="000D1BD6">
        <w:rPr>
          <w:rFonts w:ascii="Times New Roman" w:hAnsi="Times New Roman" w:cs="Times New Roman"/>
          <w:i/>
        </w:rPr>
        <w:t>Droit de la communauté européenne, op. cit.</w:t>
      </w:r>
      <w:r w:rsidRPr="000D1BD6">
        <w:rPr>
          <w:rFonts w:ascii="Times New Roman" w:hAnsi="Times New Roman" w:cs="Times New Roman"/>
        </w:rPr>
        <w:t>, p. 317.</w:t>
      </w:r>
    </w:p>
  </w:footnote>
  <w:footnote w:id="181">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Art. 12 du Protocole additionnel n°1 sur les organes de contrôle de l’UEMOA. </w:t>
      </w:r>
    </w:p>
  </w:footnote>
  <w:footnote w:id="182">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Art. 26 de la convention de Libreville du 19 janvier 2009, régissant la Cour de justice de la CEMAC.</w:t>
      </w:r>
    </w:p>
  </w:footnote>
  <w:footnote w:id="183">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Art. 30 du Traité de Kampala du 5 septembre 1980.</w:t>
      </w:r>
    </w:p>
  </w:footnote>
  <w:footnote w:id="184">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Art. 267 du TFUE.</w:t>
      </w:r>
    </w:p>
  </w:footnote>
  <w:footnote w:id="185">
    <w:p w:rsidR="00E52745" w:rsidRPr="000D1BD6" w:rsidRDefault="00E52745" w:rsidP="007C40FF">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Sur ce point, la jurisprudence </w:t>
      </w:r>
      <w:r w:rsidRPr="000D1BD6">
        <w:rPr>
          <w:rFonts w:ascii="Times New Roman" w:hAnsi="Times New Roman" w:cs="Times New Roman"/>
          <w:i/>
        </w:rPr>
        <w:t>Foto-Frost</w:t>
      </w:r>
      <w:r w:rsidRPr="000D1BD6">
        <w:rPr>
          <w:rFonts w:ascii="Times New Roman" w:hAnsi="Times New Roman" w:cs="Times New Roman"/>
        </w:rPr>
        <w:t xml:space="preserve"> constitue une exception à cette pure faculté en ce qu’elle impose même aux juridictions nationales inférieures de formuler une demande préjudicielle en appréciation de validité plutôt que de constater elles-mêmes l’invalidité d’un acte communautaire.</w:t>
      </w:r>
    </w:p>
  </w:footnote>
  <w:footnote w:id="186">
    <w:p w:rsidR="00E52745" w:rsidRPr="000D1BD6" w:rsidRDefault="00E52745" w:rsidP="00DB68FE">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Sur ce point, la jurisprudence </w:t>
      </w:r>
      <w:r w:rsidRPr="000D1BD6">
        <w:rPr>
          <w:rFonts w:ascii="Times New Roman" w:hAnsi="Times New Roman" w:cs="Times New Roman"/>
          <w:i/>
        </w:rPr>
        <w:t>CILFIT</w:t>
      </w:r>
      <w:r w:rsidRPr="000D1BD6">
        <w:rPr>
          <w:rFonts w:ascii="Times New Roman" w:hAnsi="Times New Roman" w:cs="Times New Roman"/>
        </w:rPr>
        <w:t xml:space="preserve"> prévoit trois (03) exceptions à cette obligation de renvoi : lorsque la question n’est pas pertinente, lorsqu’elle est matériellement identique à une question ayant déjà fait l’objet d’une décision à titre préjudiciel dans une espèce analogue ou que le point de droit en cause a été résolu par une jurisprudence établie de la Cour, et lorsque l’application correcte du droit communautaire s’impose avec une telle évidence qu’elle ne laisse place à aucun doute raisonnable.</w:t>
      </w:r>
    </w:p>
  </w:footnote>
  <w:footnote w:id="187">
    <w:p w:rsidR="00E52745" w:rsidRPr="00C91DAF"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En l’espèce, il s’agit d’une entreprise qui conteste une mesure individuelle prise à son encontre, au motif que le règlement communautaire en vigueur n’est pas valide et que le juge national n’est pas compétent pour prononcer l’invalidité du règlement lui-même. L’entreprise souhaite que le juge national fasse un renvoi en appréciation de validité tout en suspendant, dans le même temps</w:t>
      </w:r>
      <w:r>
        <w:rPr>
          <w:rFonts w:ascii="Times New Roman" w:hAnsi="Times New Roman" w:cs="Times New Roman"/>
        </w:rPr>
        <w:t xml:space="preserve">, la mesure nationale afin que </w:t>
      </w:r>
      <w:r w:rsidRPr="00C91DAF">
        <w:rPr>
          <w:rFonts w:ascii="Times New Roman" w:hAnsi="Times New Roman" w:cs="Times New Roman"/>
        </w:rPr>
        <w:t>ses droits individuels soient protégés.</w:t>
      </w:r>
    </w:p>
  </w:footnote>
  <w:footnote w:id="188">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Cf., </w:t>
      </w:r>
      <w:r w:rsidRPr="000D1BD6">
        <w:rPr>
          <w:rFonts w:ascii="Times New Roman" w:hAnsi="Times New Roman" w:cs="Times New Roman"/>
          <w:i/>
        </w:rPr>
        <w:t>Le Conseil d’Etat français et le renvoi préjudiciel à la Cour de Justice des Communautés européennes</w:t>
      </w:r>
      <w:r w:rsidRPr="000D1BD6">
        <w:rPr>
          <w:rFonts w:ascii="Times New Roman" w:hAnsi="Times New Roman" w:cs="Times New Roman"/>
        </w:rPr>
        <w:t xml:space="preserve">, Colloque de l’Association des Conseils d’Etats et des juridictions administratives suprêmes de l’Union européenne des 20 et 21 mai 2002 à Helsinki, p. 19, accessible en ligne à l’adresse suivante : </w:t>
      </w:r>
      <w:hyperlink r:id="rId19" w:history="1">
        <w:r w:rsidRPr="000D1BD6">
          <w:rPr>
            <w:rStyle w:val="Lienhypertexte"/>
            <w:rFonts w:ascii="Times New Roman" w:hAnsi="Times New Roman" w:cs="Times New Roman"/>
          </w:rPr>
          <w:t>http://www.docplayer.fr</w:t>
        </w:r>
      </w:hyperlink>
      <w:r w:rsidRPr="000D1BD6">
        <w:rPr>
          <w:rFonts w:ascii="Times New Roman" w:hAnsi="Times New Roman" w:cs="Times New Roman"/>
        </w:rPr>
        <w:t xml:space="preserve"> , consulté le 1</w:t>
      </w:r>
      <w:r w:rsidRPr="000D1BD6">
        <w:rPr>
          <w:rFonts w:ascii="Times New Roman" w:hAnsi="Times New Roman" w:cs="Times New Roman"/>
          <w:vertAlign w:val="superscript"/>
        </w:rPr>
        <w:t>er</w:t>
      </w:r>
      <w:r w:rsidRPr="000D1BD6">
        <w:rPr>
          <w:rFonts w:ascii="Times New Roman" w:hAnsi="Times New Roman" w:cs="Times New Roman"/>
        </w:rPr>
        <w:t xml:space="preserve"> Avril 2017. </w:t>
      </w:r>
    </w:p>
  </w:footnote>
  <w:footnote w:id="189">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i/>
        </w:rPr>
        <w:t>Ibid.,</w:t>
      </w:r>
      <w:r w:rsidRPr="000D1BD6">
        <w:rPr>
          <w:rFonts w:ascii="Times New Roman" w:hAnsi="Times New Roman" w:cs="Times New Roman"/>
        </w:rPr>
        <w:t xml:space="preserve"> p. 20.</w:t>
      </w:r>
    </w:p>
  </w:footnote>
  <w:footnote w:id="190">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6 avril 1962, </w:t>
      </w:r>
      <w:r w:rsidRPr="000D1BD6">
        <w:rPr>
          <w:rFonts w:ascii="Times New Roman" w:hAnsi="Times New Roman" w:cs="Times New Roman"/>
          <w:i/>
        </w:rPr>
        <w:t>Bosch</w:t>
      </w:r>
      <w:r w:rsidRPr="000D1BD6">
        <w:rPr>
          <w:rFonts w:ascii="Times New Roman" w:hAnsi="Times New Roman" w:cs="Times New Roman"/>
        </w:rPr>
        <w:t xml:space="preserve">, Aff. 13/63, cité par Joe VERHOEVEN, </w:t>
      </w:r>
      <w:r w:rsidRPr="000D1BD6">
        <w:rPr>
          <w:rFonts w:ascii="Times New Roman" w:hAnsi="Times New Roman" w:cs="Times New Roman"/>
          <w:i/>
        </w:rPr>
        <w:t>op. cit.,</w:t>
      </w:r>
      <w:r w:rsidRPr="000D1BD6">
        <w:rPr>
          <w:rFonts w:ascii="Times New Roman" w:hAnsi="Times New Roman" w:cs="Times New Roman"/>
        </w:rPr>
        <w:t xml:space="preserve"> p. 317.</w:t>
      </w:r>
    </w:p>
  </w:footnote>
  <w:footnote w:id="191">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George TATY, « La procédure de renvoi préjudiciel en Droit Communautaire », </w:t>
      </w:r>
      <w:r w:rsidRPr="000D1BD6">
        <w:rPr>
          <w:rFonts w:ascii="Times New Roman" w:hAnsi="Times New Roman" w:cs="Times New Roman"/>
          <w:i/>
        </w:rPr>
        <w:t>op. cit.</w:t>
      </w:r>
      <w:r w:rsidRPr="000D1BD6">
        <w:rPr>
          <w:rFonts w:ascii="Times New Roman" w:hAnsi="Times New Roman" w:cs="Times New Roman"/>
        </w:rPr>
        <w:t>, p. 35.</w:t>
      </w:r>
    </w:p>
  </w:footnote>
  <w:footnote w:id="192">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C’est-à-dire si les conditions de recevabilité sont réunies.</w:t>
      </w:r>
    </w:p>
  </w:footnote>
  <w:footnote w:id="193">
    <w:p w:rsidR="00E52745" w:rsidRPr="000D1BD6" w:rsidRDefault="00E52745" w:rsidP="00F57F2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Art. 26 du règlement administratif de la CJ/UEMOA de 2012.</w:t>
      </w:r>
    </w:p>
  </w:footnote>
  <w:footnote w:id="194">
    <w:p w:rsidR="00E52745" w:rsidRPr="000D1BD6" w:rsidRDefault="00E52745" w:rsidP="0096677A">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Charlotte KRINKE, Le renvoi préjudiciel, comment ça marche ?, </w:t>
      </w:r>
      <w:r w:rsidRPr="000D1BD6">
        <w:rPr>
          <w:rFonts w:ascii="Times New Roman" w:hAnsi="Times New Roman" w:cs="Times New Roman"/>
          <w:i/>
        </w:rPr>
        <w:t>op. cit</w:t>
      </w:r>
      <w:r w:rsidRPr="000D1BD6">
        <w:rPr>
          <w:rFonts w:ascii="Times New Roman" w:hAnsi="Times New Roman" w:cs="Times New Roman"/>
        </w:rPr>
        <w:t xml:space="preserve">., p. 3 ; voir dans le même sens., Jean-Claude GAUTRON, « Le renvoi préjudiciel. Changements et continuité », accessible en ligne à l’adresse suivante : </w:t>
      </w:r>
      <w:hyperlink r:id="rId20" w:history="1">
        <w:r w:rsidRPr="000D1BD6">
          <w:rPr>
            <w:rStyle w:val="Lienhypertexte"/>
            <w:rFonts w:ascii="Times New Roman" w:hAnsi="Times New Roman" w:cs="Times New Roman"/>
          </w:rPr>
          <w:t>http://www.eubg.eu</w:t>
        </w:r>
      </w:hyperlink>
      <w:r w:rsidRPr="000D1BD6">
        <w:rPr>
          <w:rFonts w:ascii="Times New Roman" w:hAnsi="Times New Roman" w:cs="Times New Roman"/>
        </w:rPr>
        <w:t xml:space="preserve"> , Consulté le 10 novembre 2017 ; et l’art. 27, al. 1 du règlement administratif de la CJ/UEMOA de 2012. </w:t>
      </w:r>
    </w:p>
  </w:footnote>
  <w:footnote w:id="195">
    <w:p w:rsidR="00E52745" w:rsidRPr="000D1BD6" w:rsidRDefault="00E52745" w:rsidP="009B707A">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Art. 86, al. 5 du règlement de procédure de la Cour de justice de l’UEMOA. Sur ce point, consultez aussi Narcisse HOUNYO, </w:t>
      </w:r>
      <w:r w:rsidRPr="000D1BD6">
        <w:rPr>
          <w:rFonts w:ascii="Times New Roman" w:hAnsi="Times New Roman" w:cs="Times New Roman"/>
          <w:i/>
        </w:rPr>
        <w:t>op. cit.</w:t>
      </w:r>
      <w:r w:rsidRPr="000D1BD6">
        <w:rPr>
          <w:rFonts w:ascii="Times New Roman" w:hAnsi="Times New Roman" w:cs="Times New Roman"/>
        </w:rPr>
        <w:t>, p. 28.</w:t>
      </w:r>
    </w:p>
  </w:footnote>
  <w:footnote w:id="196">
    <w:p w:rsidR="00E52745" w:rsidRPr="000D1BD6" w:rsidRDefault="00E52745" w:rsidP="00FF2BDF">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Charlotte KRINKE, </w:t>
      </w:r>
      <w:r w:rsidRPr="000D1BD6">
        <w:rPr>
          <w:rFonts w:ascii="Times New Roman" w:hAnsi="Times New Roman" w:cs="Times New Roman"/>
          <w:i/>
        </w:rPr>
        <w:t>Le renvoi préjudiciel, comment ça marche</w:t>
      </w:r>
      <w:r w:rsidRPr="000D1BD6">
        <w:rPr>
          <w:rFonts w:ascii="Times New Roman" w:hAnsi="Times New Roman" w:cs="Times New Roman"/>
        </w:rPr>
        <w:t> </w:t>
      </w:r>
      <w:r w:rsidRPr="000D1BD6">
        <w:rPr>
          <w:rFonts w:ascii="Times New Roman" w:hAnsi="Times New Roman" w:cs="Times New Roman"/>
          <w:i/>
        </w:rPr>
        <w:t>?</w:t>
      </w:r>
      <w:r w:rsidRPr="000D1BD6">
        <w:rPr>
          <w:rFonts w:ascii="Times New Roman" w:hAnsi="Times New Roman" w:cs="Times New Roman"/>
        </w:rPr>
        <w:t xml:space="preserve">, </w:t>
      </w:r>
      <w:r w:rsidRPr="000D1BD6">
        <w:rPr>
          <w:rFonts w:ascii="Times New Roman" w:hAnsi="Times New Roman" w:cs="Times New Roman"/>
          <w:i/>
        </w:rPr>
        <w:t>op. cit.</w:t>
      </w:r>
      <w:r w:rsidRPr="000D1BD6">
        <w:rPr>
          <w:rFonts w:ascii="Times New Roman" w:hAnsi="Times New Roman" w:cs="Times New Roman"/>
        </w:rPr>
        <w:t>, p. 3.</w:t>
      </w:r>
    </w:p>
  </w:footnote>
  <w:footnote w:id="197">
    <w:p w:rsidR="00E52745" w:rsidRPr="000D1BD6" w:rsidRDefault="00E52745" w:rsidP="00342A17">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Art. 96 du règlement de procédure de la Cour de justice de l’Union européenne du 25 Septembre 2012, tel que modifié le 18 juin 2013 et le 19 juillet 2016.</w:t>
      </w:r>
    </w:p>
  </w:footnote>
  <w:footnote w:id="198">
    <w:p w:rsidR="00E52745" w:rsidRPr="000D1BD6" w:rsidRDefault="00E52745" w:rsidP="00051C27">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Voir l’art. 27, al. 2 du règlement administratif de la CJ/UEMOA de 2012.</w:t>
      </w:r>
    </w:p>
  </w:footnote>
  <w:footnote w:id="199">
    <w:p w:rsidR="00E52745" w:rsidRPr="000D1BD6" w:rsidRDefault="00E52745" w:rsidP="00C475B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Charlotte KRINKE, </w:t>
      </w:r>
      <w:r w:rsidRPr="000D1BD6">
        <w:rPr>
          <w:rFonts w:ascii="Times New Roman" w:hAnsi="Times New Roman" w:cs="Times New Roman"/>
          <w:i/>
        </w:rPr>
        <w:t>Le renvoi préjudiciel, comment ça marche</w:t>
      </w:r>
      <w:r w:rsidRPr="000D1BD6">
        <w:rPr>
          <w:rFonts w:ascii="Times New Roman" w:hAnsi="Times New Roman" w:cs="Times New Roman"/>
        </w:rPr>
        <w:t xml:space="preserve"> ?, </w:t>
      </w:r>
      <w:r w:rsidRPr="000D1BD6">
        <w:rPr>
          <w:rFonts w:ascii="Times New Roman" w:hAnsi="Times New Roman" w:cs="Times New Roman"/>
          <w:i/>
        </w:rPr>
        <w:t>op. cit</w:t>
      </w:r>
      <w:r w:rsidRPr="000D1BD6">
        <w:rPr>
          <w:rFonts w:ascii="Times New Roman" w:hAnsi="Times New Roman" w:cs="Times New Roman"/>
        </w:rPr>
        <w:t>., p. 3.</w:t>
      </w:r>
    </w:p>
  </w:footnote>
  <w:footnote w:id="200">
    <w:p w:rsidR="00E52745" w:rsidRPr="000D1BD6" w:rsidRDefault="00E52745" w:rsidP="007474D2">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i/>
        </w:rPr>
        <w:t>Ibid.</w:t>
      </w:r>
    </w:p>
  </w:footnote>
  <w:footnote w:id="201">
    <w:p w:rsidR="00E52745" w:rsidRPr="000D1BD6" w:rsidRDefault="00E52745" w:rsidP="008D6770">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i/>
        </w:rPr>
        <w:t>Ibid.</w:t>
      </w:r>
    </w:p>
  </w:footnote>
  <w:footnote w:id="202">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Cf. Art. 39 du Règlement de la Cour de Justice CEDEAO.</w:t>
      </w:r>
    </w:p>
  </w:footnote>
  <w:footnote w:id="203">
    <w:p w:rsidR="00E52745" w:rsidRPr="000D1BD6" w:rsidRDefault="00E52745" w:rsidP="004A628F">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Narcisse HOUNYO, </w:t>
      </w:r>
      <w:r w:rsidRPr="000D1BD6">
        <w:rPr>
          <w:rFonts w:ascii="Times New Roman" w:hAnsi="Times New Roman" w:cs="Times New Roman"/>
          <w:i/>
        </w:rPr>
        <w:t>op. cit.</w:t>
      </w:r>
      <w:r w:rsidRPr="000D1BD6">
        <w:rPr>
          <w:rFonts w:ascii="Times New Roman" w:hAnsi="Times New Roman" w:cs="Times New Roman"/>
        </w:rPr>
        <w:t>, p. 28.</w:t>
      </w:r>
    </w:p>
  </w:footnote>
  <w:footnote w:id="204">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Mme Fofana/Ouédraogo RAMATA et Luc Marius IBRIGA, « Formation des Magistrats en Droit public des affaires UEMOA/CEMAC », </w:t>
      </w:r>
      <w:r w:rsidRPr="000D1BD6">
        <w:rPr>
          <w:rFonts w:ascii="Times New Roman" w:hAnsi="Times New Roman" w:cs="Times New Roman"/>
          <w:i/>
        </w:rPr>
        <w:t>communication rendue à Porto-Novo</w:t>
      </w:r>
      <w:r w:rsidRPr="000D1BD6">
        <w:rPr>
          <w:rFonts w:ascii="Times New Roman" w:hAnsi="Times New Roman" w:cs="Times New Roman"/>
        </w:rPr>
        <w:t>, 20 au 31 octobre 2008, p. 48.</w:t>
      </w:r>
    </w:p>
  </w:footnote>
  <w:footnote w:id="205">
    <w:p w:rsidR="00E52745" w:rsidRPr="000D1BD6" w:rsidRDefault="00E52745" w:rsidP="00F07C11">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Cette question a opposé les partisans de l’autorité relative de la chose jugée (J. L. Boulouis et l’avocat général Maurice Lagrange) à ceux de l’autorité absolue de la chose jugée (Alberto Trabucchi, etc.). Si les premiers considèrent que les arrêts de renvoi n’auraient qu’une autorité relative de la chose jugée parce qu’ils sont rendus dans une procédure sans partie et non contentieuse, donc qui se déroule exclusivement entre juges ; les seconds s’accordent à reconnaitre aux arrêts de renvoi une autorité absolue de la chose jugée, en raison du caractère d’ordre public de la procédure de renvoi préjudiciel (compétence exclusive de la Cour, possibilité pour les Etats membres et les institutions de présenter des </w:t>
      </w:r>
      <w:r w:rsidRPr="00164BF3">
        <w:rPr>
          <w:rFonts w:ascii="Times New Roman" w:hAnsi="Times New Roman" w:cs="Times New Roman"/>
        </w:rPr>
        <w:t>observations</w:t>
      </w:r>
      <w:r w:rsidRPr="000D1BD6">
        <w:rPr>
          <w:rFonts w:ascii="Times New Roman" w:hAnsi="Times New Roman" w:cs="Times New Roman"/>
        </w:rPr>
        <w:t xml:space="preserve">). Pour plus de détails sur ce débat, consulté Jean-Louis CLERGERIE, </w:t>
      </w:r>
      <w:r w:rsidRPr="000D1BD6">
        <w:rPr>
          <w:rFonts w:ascii="Times New Roman" w:hAnsi="Times New Roman" w:cs="Times New Roman"/>
          <w:i/>
        </w:rPr>
        <w:t>op. cit</w:t>
      </w:r>
      <w:r w:rsidRPr="000D1BD6">
        <w:rPr>
          <w:rFonts w:ascii="Times New Roman" w:hAnsi="Times New Roman" w:cs="Times New Roman"/>
        </w:rPr>
        <w:t>., pp. 123 à 130.</w:t>
      </w:r>
    </w:p>
  </w:footnote>
  <w:footnote w:id="206">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La force obligatoire de l’arrêt signifie qu’il lie l’organe national, auteur du renvoi, pour la solution du litige au principal. Pour plus de précision, consultez Daouda FALL et autres, « Les libertés dans les politiques publiques de sécurité : rôle de l’Avocat », </w:t>
      </w:r>
      <w:r w:rsidRPr="000D1BD6">
        <w:rPr>
          <w:rFonts w:ascii="Times New Roman" w:hAnsi="Times New Roman" w:cs="Times New Roman"/>
          <w:i/>
        </w:rPr>
        <w:t>op. cit</w:t>
      </w:r>
      <w:r w:rsidRPr="000D1BD6">
        <w:rPr>
          <w:rFonts w:ascii="Times New Roman" w:hAnsi="Times New Roman" w:cs="Times New Roman"/>
        </w:rPr>
        <w:t>., p. 36.</w:t>
      </w:r>
    </w:p>
  </w:footnote>
  <w:footnote w:id="207">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La portée générale de l’arrêt signifie qu’il n’a pas une simple autorité relative puisqu’il s’impose à tous litiges du même objet pouvant survenir ultérieurement devant n’importe quelle juridiction de l’ensemble des Etats membres de la communauté. </w:t>
      </w:r>
    </w:p>
  </w:footnote>
  <w:footnote w:id="208">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La portée rétroactive de l’arrêt préjudiciel suppose l’application de la règle par le juge national « </w:t>
      </w:r>
      <w:r w:rsidRPr="000D1BD6">
        <w:rPr>
          <w:rFonts w:ascii="Times New Roman" w:hAnsi="Times New Roman" w:cs="Times New Roman"/>
          <w:i/>
        </w:rPr>
        <w:t>même à des rapports juridiques nés et constitués avant l’arrêt, si par ailleurs les conditions permettant de porter devant les juridictions compétentes un litige relatif à l’application de ladite règle se trouvent réunies</w:t>
      </w:r>
      <w:r w:rsidRPr="000D1BD6">
        <w:rPr>
          <w:rFonts w:ascii="Times New Roman" w:hAnsi="Times New Roman" w:cs="Times New Roman"/>
        </w:rPr>
        <w:t xml:space="preserve"> » (C.J.C.E., Arrêt du 27 mars 1980, </w:t>
      </w:r>
      <w:r w:rsidRPr="000D1BD6">
        <w:rPr>
          <w:rFonts w:ascii="Times New Roman" w:hAnsi="Times New Roman" w:cs="Times New Roman"/>
          <w:i/>
        </w:rPr>
        <w:t>Salumi</w:t>
      </w:r>
      <w:r w:rsidRPr="000D1BD6">
        <w:rPr>
          <w:rFonts w:ascii="Times New Roman" w:hAnsi="Times New Roman" w:cs="Times New Roman"/>
        </w:rPr>
        <w:t xml:space="preserve">, Aff. 66 et 127-128/79, cité par Joe VERHOEVEN, </w:t>
      </w:r>
      <w:r w:rsidRPr="000D1BD6">
        <w:rPr>
          <w:rFonts w:ascii="Times New Roman" w:hAnsi="Times New Roman" w:cs="Times New Roman"/>
          <w:i/>
        </w:rPr>
        <w:t>Droit de la communauté européenne</w:t>
      </w:r>
      <w:r w:rsidRPr="000D1BD6">
        <w:rPr>
          <w:rFonts w:ascii="Times New Roman" w:hAnsi="Times New Roman" w:cs="Times New Roman"/>
        </w:rPr>
        <w:t xml:space="preserve">, </w:t>
      </w:r>
      <w:r w:rsidRPr="000D1BD6">
        <w:rPr>
          <w:rFonts w:ascii="Times New Roman" w:hAnsi="Times New Roman" w:cs="Times New Roman"/>
          <w:i/>
        </w:rPr>
        <w:t>op. cit</w:t>
      </w:r>
      <w:r w:rsidRPr="000D1BD6">
        <w:rPr>
          <w:rFonts w:ascii="Times New Roman" w:hAnsi="Times New Roman" w:cs="Times New Roman"/>
        </w:rPr>
        <w:t xml:space="preserve">., p. 321) ; Voir aussi Guy ISAAC, </w:t>
      </w:r>
      <w:r w:rsidRPr="000D1BD6">
        <w:rPr>
          <w:rFonts w:ascii="Times New Roman" w:hAnsi="Times New Roman" w:cs="Times New Roman"/>
          <w:i/>
        </w:rPr>
        <w:t>Droit communautaire général</w:t>
      </w:r>
      <w:r w:rsidRPr="000D1BD6">
        <w:rPr>
          <w:rFonts w:ascii="Times New Roman" w:hAnsi="Times New Roman" w:cs="Times New Roman"/>
        </w:rPr>
        <w:t>, 3</w:t>
      </w:r>
      <w:r w:rsidRPr="000D1BD6">
        <w:rPr>
          <w:rFonts w:ascii="Times New Roman" w:hAnsi="Times New Roman" w:cs="Times New Roman"/>
          <w:vertAlign w:val="superscript"/>
        </w:rPr>
        <w:t>ème</w:t>
      </w:r>
      <w:r w:rsidRPr="000D1BD6">
        <w:rPr>
          <w:rFonts w:ascii="Times New Roman" w:hAnsi="Times New Roman" w:cs="Times New Roman"/>
        </w:rPr>
        <w:t xml:space="preserve"> éd., </w:t>
      </w:r>
      <w:r w:rsidRPr="000D1BD6">
        <w:rPr>
          <w:rFonts w:ascii="Times New Roman" w:hAnsi="Times New Roman" w:cs="Times New Roman"/>
          <w:i/>
        </w:rPr>
        <w:t>op. cit.</w:t>
      </w:r>
      <w:r w:rsidRPr="000D1BD6">
        <w:rPr>
          <w:rFonts w:ascii="Times New Roman" w:hAnsi="Times New Roman" w:cs="Times New Roman"/>
        </w:rPr>
        <w:t>, pp.287-289.</w:t>
      </w:r>
    </w:p>
  </w:footnote>
  <w:footnote w:id="209">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03 Février 1977, </w:t>
      </w:r>
      <w:r w:rsidRPr="000D1BD6">
        <w:rPr>
          <w:rFonts w:ascii="Times New Roman" w:hAnsi="Times New Roman" w:cs="Times New Roman"/>
          <w:i/>
        </w:rPr>
        <w:t>Benedetti</w:t>
      </w:r>
      <w:r w:rsidRPr="000D1BD6">
        <w:rPr>
          <w:rFonts w:ascii="Times New Roman" w:hAnsi="Times New Roman" w:cs="Times New Roman"/>
        </w:rPr>
        <w:t xml:space="preserve">, Aff. 52/76, cité par Jean-BOULOUIS, </w:t>
      </w:r>
      <w:r w:rsidRPr="000D1BD6">
        <w:rPr>
          <w:rFonts w:ascii="Times New Roman" w:hAnsi="Times New Roman" w:cs="Times New Roman"/>
          <w:i/>
        </w:rPr>
        <w:t>Droit institutionnel de l’Union européenne</w:t>
      </w:r>
      <w:r w:rsidRPr="000D1BD6">
        <w:rPr>
          <w:rFonts w:ascii="Times New Roman" w:hAnsi="Times New Roman" w:cs="Times New Roman"/>
        </w:rPr>
        <w:t>, 5</w:t>
      </w:r>
      <w:r w:rsidRPr="000D1BD6">
        <w:rPr>
          <w:rFonts w:ascii="Times New Roman" w:hAnsi="Times New Roman" w:cs="Times New Roman"/>
          <w:vertAlign w:val="superscript"/>
        </w:rPr>
        <w:t>ème</w:t>
      </w:r>
      <w:r w:rsidRPr="000D1BD6">
        <w:rPr>
          <w:rFonts w:ascii="Times New Roman" w:hAnsi="Times New Roman" w:cs="Times New Roman"/>
        </w:rPr>
        <w:t xml:space="preserve"> éd., </w:t>
      </w:r>
      <w:r w:rsidRPr="000D1BD6">
        <w:rPr>
          <w:rFonts w:ascii="Times New Roman" w:hAnsi="Times New Roman" w:cs="Times New Roman"/>
          <w:i/>
        </w:rPr>
        <w:t>op. cit.</w:t>
      </w:r>
      <w:r w:rsidRPr="000D1BD6">
        <w:rPr>
          <w:rFonts w:ascii="Times New Roman" w:hAnsi="Times New Roman" w:cs="Times New Roman"/>
        </w:rPr>
        <w:t>, p. 313.</w:t>
      </w:r>
    </w:p>
  </w:footnote>
  <w:footnote w:id="210">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Cf. Mme Fofana/Ouédraogo RAMATA et Ibriga LUC MARIUS</w:t>
      </w:r>
      <w:r w:rsidRPr="000D1BD6">
        <w:rPr>
          <w:rFonts w:ascii="Times New Roman" w:hAnsi="Times New Roman" w:cs="Times New Roman"/>
          <w:i/>
        </w:rPr>
        <w:t>, op. cit.,</w:t>
      </w:r>
      <w:r w:rsidRPr="000D1BD6">
        <w:rPr>
          <w:rFonts w:ascii="Times New Roman" w:hAnsi="Times New Roman" w:cs="Times New Roman"/>
        </w:rPr>
        <w:t>p. 50.</w:t>
      </w:r>
    </w:p>
  </w:footnote>
  <w:footnote w:id="211">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George TATY, « La procédure de renvoi préjudiciel en Droit Communautaire », </w:t>
      </w:r>
      <w:r w:rsidRPr="000D1BD6">
        <w:rPr>
          <w:rFonts w:ascii="Times New Roman" w:hAnsi="Times New Roman" w:cs="Times New Roman"/>
          <w:i/>
        </w:rPr>
        <w:t>op. cit.</w:t>
      </w:r>
      <w:r w:rsidRPr="000D1BD6">
        <w:rPr>
          <w:rFonts w:ascii="Times New Roman" w:hAnsi="Times New Roman" w:cs="Times New Roman"/>
        </w:rPr>
        <w:t>, p. 37.</w:t>
      </w:r>
    </w:p>
  </w:footnote>
  <w:footnote w:id="212">
    <w:p w:rsidR="00E52745" w:rsidRPr="000D1BD6" w:rsidRDefault="00E52745" w:rsidP="00110161">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03 février 1977, </w:t>
      </w:r>
      <w:r w:rsidRPr="000D1BD6">
        <w:rPr>
          <w:rFonts w:ascii="Times New Roman" w:hAnsi="Times New Roman" w:cs="Times New Roman"/>
          <w:i/>
        </w:rPr>
        <w:t>Benedetti</w:t>
      </w:r>
      <w:r w:rsidRPr="000D1BD6">
        <w:rPr>
          <w:rFonts w:ascii="Times New Roman" w:hAnsi="Times New Roman" w:cs="Times New Roman"/>
        </w:rPr>
        <w:t xml:space="preserve">, Aff. 52/76, R. 163, cité par Jean-Louis CLERGERIE, </w:t>
      </w:r>
      <w:r w:rsidRPr="000D1BD6">
        <w:rPr>
          <w:rFonts w:ascii="Times New Roman" w:hAnsi="Times New Roman" w:cs="Times New Roman"/>
          <w:i/>
        </w:rPr>
        <w:t>Le renvoi préjudiciel</w:t>
      </w:r>
      <w:r w:rsidRPr="000D1BD6">
        <w:rPr>
          <w:rFonts w:ascii="Times New Roman" w:hAnsi="Times New Roman" w:cs="Times New Roman"/>
        </w:rPr>
        <w:t xml:space="preserve">, Ellipses, </w:t>
      </w:r>
      <w:r w:rsidRPr="000D1BD6">
        <w:rPr>
          <w:rFonts w:ascii="Times New Roman" w:hAnsi="Times New Roman" w:cs="Times New Roman"/>
          <w:i/>
        </w:rPr>
        <w:t>op. cit.</w:t>
      </w:r>
      <w:r w:rsidRPr="000D1BD6">
        <w:rPr>
          <w:rFonts w:ascii="Times New Roman" w:hAnsi="Times New Roman" w:cs="Times New Roman"/>
        </w:rPr>
        <w:t>, p. 132.</w:t>
      </w:r>
    </w:p>
  </w:footnote>
  <w:footnote w:id="213">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Cf. Article 13 du Protocole additionnel n°1 sur les organes de contrôle de l’UEMOA ; Voy., aussi Joe VERHOEVEN, </w:t>
      </w:r>
      <w:r w:rsidRPr="000D1BD6">
        <w:rPr>
          <w:rFonts w:ascii="Times New Roman" w:hAnsi="Times New Roman" w:cs="Times New Roman"/>
          <w:i/>
        </w:rPr>
        <w:t>Droit de la Communauté européenne, op. cit.,</w:t>
      </w:r>
      <w:r w:rsidRPr="000D1BD6">
        <w:rPr>
          <w:rFonts w:ascii="Times New Roman" w:hAnsi="Times New Roman" w:cs="Times New Roman"/>
        </w:rPr>
        <w:t xml:space="preserve"> p. 323 ; Jean-Louis CLERGERIE, </w:t>
      </w:r>
      <w:r w:rsidRPr="000D1BD6">
        <w:rPr>
          <w:rFonts w:ascii="Times New Roman" w:hAnsi="Times New Roman" w:cs="Times New Roman"/>
          <w:i/>
        </w:rPr>
        <w:t>Le renvoipréjudiciel</w:t>
      </w:r>
      <w:r w:rsidRPr="000D1BD6">
        <w:rPr>
          <w:rFonts w:ascii="Times New Roman" w:hAnsi="Times New Roman" w:cs="Times New Roman"/>
        </w:rPr>
        <w:t xml:space="preserve">, Ellipses, </w:t>
      </w:r>
      <w:r w:rsidRPr="000D1BD6">
        <w:rPr>
          <w:rFonts w:ascii="Times New Roman" w:hAnsi="Times New Roman" w:cs="Times New Roman"/>
          <w:i/>
        </w:rPr>
        <w:t>op. cit.,</w:t>
      </w:r>
      <w:r w:rsidRPr="000D1BD6">
        <w:rPr>
          <w:rFonts w:ascii="Times New Roman" w:hAnsi="Times New Roman" w:cs="Times New Roman"/>
        </w:rPr>
        <w:t xml:space="preserve"> p. 132.</w:t>
      </w:r>
    </w:p>
  </w:footnote>
  <w:footnote w:id="214">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Jean BOULOUIS, </w:t>
      </w:r>
      <w:r w:rsidRPr="000D1BD6">
        <w:rPr>
          <w:rFonts w:ascii="Times New Roman" w:hAnsi="Times New Roman" w:cs="Times New Roman"/>
          <w:i/>
        </w:rPr>
        <w:t>Droit institutionnel de l’Union européenne</w:t>
      </w:r>
      <w:r w:rsidRPr="000D1BD6">
        <w:rPr>
          <w:rFonts w:ascii="Times New Roman" w:hAnsi="Times New Roman" w:cs="Times New Roman"/>
        </w:rPr>
        <w:t>, 5</w:t>
      </w:r>
      <w:r w:rsidRPr="000D1BD6">
        <w:rPr>
          <w:rFonts w:ascii="Times New Roman" w:hAnsi="Times New Roman" w:cs="Times New Roman"/>
          <w:vertAlign w:val="superscript"/>
        </w:rPr>
        <w:t>ème</w:t>
      </w:r>
      <w:r w:rsidRPr="000D1BD6">
        <w:rPr>
          <w:rFonts w:ascii="Times New Roman" w:hAnsi="Times New Roman" w:cs="Times New Roman"/>
        </w:rPr>
        <w:t xml:space="preserve"> éd., </w:t>
      </w:r>
      <w:r w:rsidRPr="000D1BD6">
        <w:rPr>
          <w:rFonts w:ascii="Times New Roman" w:hAnsi="Times New Roman" w:cs="Times New Roman"/>
          <w:i/>
        </w:rPr>
        <w:t>op. cit.</w:t>
      </w:r>
      <w:r w:rsidRPr="000D1BD6">
        <w:rPr>
          <w:rFonts w:ascii="Times New Roman" w:hAnsi="Times New Roman" w:cs="Times New Roman"/>
        </w:rPr>
        <w:t>, p. 314.</w:t>
      </w:r>
    </w:p>
  </w:footnote>
  <w:footnote w:id="215">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Voir par exemple l’article 2 du code civil applicable au Niger.</w:t>
      </w:r>
    </w:p>
  </w:footnote>
  <w:footnote w:id="216">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Ibrahim MOUMOUNI, « Le principe de la rétroactivité des lois pénales plus douces : une rupture de l’égalité devant la loi entre délinquant ? », </w:t>
      </w:r>
      <w:r w:rsidR="000F34DE" w:rsidRPr="000F34DE">
        <w:rPr>
          <w:rFonts w:ascii="Times New Roman" w:hAnsi="Times New Roman" w:cs="Times New Roman"/>
          <w:i/>
        </w:rPr>
        <w:t>in</w:t>
      </w:r>
      <w:r w:rsidRPr="000D1BD6">
        <w:rPr>
          <w:rFonts w:ascii="Times New Roman" w:hAnsi="Times New Roman" w:cs="Times New Roman"/>
          <w:i/>
        </w:rPr>
        <w:t>Revue internationale de droit pénale</w:t>
      </w:r>
      <w:r w:rsidRPr="000D1BD6">
        <w:rPr>
          <w:rFonts w:ascii="Times New Roman" w:hAnsi="Times New Roman" w:cs="Times New Roman"/>
        </w:rPr>
        <w:t xml:space="preserve"> 2012/1 (Vol. 83), pp. 173-174.</w:t>
      </w:r>
    </w:p>
  </w:footnote>
  <w:footnote w:id="217">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8 avril 1976, </w:t>
      </w:r>
      <w:r w:rsidRPr="000D1BD6">
        <w:rPr>
          <w:rFonts w:ascii="Times New Roman" w:hAnsi="Times New Roman" w:cs="Times New Roman"/>
          <w:i/>
        </w:rPr>
        <w:t>Defrenne</w:t>
      </w:r>
      <w:r w:rsidRPr="000D1BD6">
        <w:rPr>
          <w:rFonts w:ascii="Times New Roman" w:hAnsi="Times New Roman" w:cs="Times New Roman"/>
        </w:rPr>
        <w:t xml:space="preserve">, Aff. 43/75, cité par Joe VERHOEVEN, </w:t>
      </w:r>
      <w:r w:rsidRPr="000D1BD6">
        <w:rPr>
          <w:rFonts w:ascii="Times New Roman" w:hAnsi="Times New Roman" w:cs="Times New Roman"/>
          <w:i/>
        </w:rPr>
        <w:t>Droit de la communauté européenne, op. cit.,</w:t>
      </w:r>
      <w:r w:rsidRPr="000D1BD6">
        <w:rPr>
          <w:rFonts w:ascii="Times New Roman" w:hAnsi="Times New Roman" w:cs="Times New Roman"/>
        </w:rPr>
        <w:t xml:space="preserve"> p. 322 et Louis DUBOUIS et Claude GUEYDAN, </w:t>
      </w:r>
      <w:r w:rsidRPr="000D1BD6">
        <w:rPr>
          <w:rFonts w:ascii="Times New Roman" w:hAnsi="Times New Roman" w:cs="Times New Roman"/>
          <w:i/>
        </w:rPr>
        <w:t>Les grands textes du droit de l’Union européenne</w:t>
      </w:r>
      <w:r w:rsidRPr="000D1BD6">
        <w:rPr>
          <w:rFonts w:ascii="Times New Roman" w:hAnsi="Times New Roman" w:cs="Times New Roman"/>
        </w:rPr>
        <w:t xml:space="preserve">, </w:t>
      </w:r>
      <w:r w:rsidRPr="000D1BD6">
        <w:rPr>
          <w:rFonts w:ascii="Times New Roman" w:hAnsi="Times New Roman" w:cs="Times New Roman"/>
          <w:i/>
        </w:rPr>
        <w:t>op. cit</w:t>
      </w:r>
      <w:r w:rsidRPr="000D1BD6">
        <w:rPr>
          <w:rFonts w:ascii="Times New Roman" w:hAnsi="Times New Roman" w:cs="Times New Roman"/>
        </w:rPr>
        <w:t xml:space="preserve">., p. 263 ; Voir aussi Mme Fofana/Ouédraogo RAMATA et Ibriga LUC MARIUS, </w:t>
      </w:r>
      <w:r w:rsidRPr="000D1BD6">
        <w:rPr>
          <w:rFonts w:ascii="Times New Roman" w:hAnsi="Times New Roman" w:cs="Times New Roman"/>
          <w:i/>
        </w:rPr>
        <w:t>Laformation des magistrats en droit public des affaires UEMOA/CEMAC</w:t>
      </w:r>
      <w:r w:rsidRPr="000D1BD6">
        <w:rPr>
          <w:rFonts w:ascii="Times New Roman" w:hAnsi="Times New Roman" w:cs="Times New Roman"/>
        </w:rPr>
        <w:t xml:space="preserve">, </w:t>
      </w:r>
      <w:r w:rsidRPr="000D1BD6">
        <w:rPr>
          <w:rFonts w:ascii="Times New Roman" w:hAnsi="Times New Roman" w:cs="Times New Roman"/>
          <w:i/>
        </w:rPr>
        <w:t>op. cit</w:t>
      </w:r>
      <w:r w:rsidRPr="000D1BD6">
        <w:rPr>
          <w:rFonts w:ascii="Times New Roman" w:hAnsi="Times New Roman" w:cs="Times New Roman"/>
        </w:rPr>
        <w:t>., p. 50.</w:t>
      </w:r>
    </w:p>
  </w:footnote>
  <w:footnote w:id="218">
    <w:p w:rsidR="00E52745" w:rsidRPr="000D1BD6" w:rsidRDefault="00E52745" w:rsidP="006E028C">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17 mai 1990, </w:t>
      </w:r>
      <w:r w:rsidRPr="000D1BD6">
        <w:rPr>
          <w:rFonts w:ascii="Times New Roman" w:hAnsi="Times New Roman" w:cs="Times New Roman"/>
          <w:i/>
        </w:rPr>
        <w:t>Barber</w:t>
      </w:r>
      <w:r w:rsidRPr="000D1BD6">
        <w:rPr>
          <w:rFonts w:ascii="Times New Roman" w:hAnsi="Times New Roman" w:cs="Times New Roman"/>
        </w:rPr>
        <w:t xml:space="preserve">, Aff. C-262/88, point 44, cité par Jean-Louis CLERGERIE, </w:t>
      </w:r>
      <w:r w:rsidRPr="000D1BD6">
        <w:rPr>
          <w:rFonts w:ascii="Times New Roman" w:hAnsi="Times New Roman" w:cs="Times New Roman"/>
          <w:i/>
        </w:rPr>
        <w:t>op. cit</w:t>
      </w:r>
      <w:r w:rsidRPr="000D1BD6">
        <w:rPr>
          <w:rFonts w:ascii="Times New Roman" w:hAnsi="Times New Roman" w:cs="Times New Roman"/>
        </w:rPr>
        <w:t>., p. 147.</w:t>
      </w:r>
    </w:p>
  </w:footnote>
  <w:footnote w:id="219">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George TATY, « La procédure de renvoi préjudiciel en Droit communautaire », </w:t>
      </w:r>
      <w:r w:rsidRPr="000D1BD6">
        <w:rPr>
          <w:rFonts w:ascii="Times New Roman" w:hAnsi="Times New Roman" w:cs="Times New Roman"/>
          <w:i/>
        </w:rPr>
        <w:t>op. cit.</w:t>
      </w:r>
      <w:r w:rsidRPr="000D1BD6">
        <w:rPr>
          <w:rFonts w:ascii="Times New Roman" w:hAnsi="Times New Roman" w:cs="Times New Roman"/>
        </w:rPr>
        <w:t xml:space="preserve">, p. 37 ; Voir aussi Jean-Louis CLERGERIE, </w:t>
      </w:r>
      <w:r w:rsidRPr="000D1BD6">
        <w:rPr>
          <w:rFonts w:ascii="Times New Roman" w:hAnsi="Times New Roman" w:cs="Times New Roman"/>
          <w:i/>
        </w:rPr>
        <w:t>Le renvoi préjudiciel</w:t>
      </w:r>
      <w:r w:rsidRPr="000D1BD6">
        <w:rPr>
          <w:rFonts w:ascii="Times New Roman" w:hAnsi="Times New Roman" w:cs="Times New Roman"/>
        </w:rPr>
        <w:t xml:space="preserve">, Ellipses, </w:t>
      </w:r>
      <w:r w:rsidRPr="000D1BD6">
        <w:rPr>
          <w:rFonts w:ascii="Times New Roman" w:hAnsi="Times New Roman" w:cs="Times New Roman"/>
          <w:i/>
        </w:rPr>
        <w:t>op. cit</w:t>
      </w:r>
      <w:r w:rsidRPr="000D1BD6">
        <w:rPr>
          <w:rFonts w:ascii="Times New Roman" w:hAnsi="Times New Roman" w:cs="Times New Roman"/>
        </w:rPr>
        <w:t>., p. 134.</w:t>
      </w:r>
    </w:p>
  </w:footnote>
  <w:footnote w:id="220">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Daouda FALL et autres, </w:t>
      </w:r>
      <w:r w:rsidRPr="000D1BD6">
        <w:rPr>
          <w:rFonts w:ascii="Times New Roman" w:hAnsi="Times New Roman" w:cs="Times New Roman"/>
          <w:i/>
        </w:rPr>
        <w:t>op. cit.,</w:t>
      </w:r>
      <w:r w:rsidRPr="000D1BD6">
        <w:rPr>
          <w:rFonts w:ascii="Times New Roman" w:hAnsi="Times New Roman" w:cs="Times New Roman"/>
        </w:rPr>
        <w:t>p. 37.</w:t>
      </w:r>
    </w:p>
  </w:footnote>
  <w:footnote w:id="221">
    <w:p w:rsidR="00E52745" w:rsidRPr="000D1BD6" w:rsidRDefault="00E52745" w:rsidP="0024348B">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27 mars 1963, </w:t>
      </w:r>
      <w:r w:rsidRPr="000D1BD6">
        <w:rPr>
          <w:rFonts w:ascii="Times New Roman" w:hAnsi="Times New Roman" w:cs="Times New Roman"/>
          <w:i/>
        </w:rPr>
        <w:t>Da costa</w:t>
      </w:r>
      <w:r w:rsidRPr="000D1BD6">
        <w:rPr>
          <w:rFonts w:ascii="Times New Roman" w:hAnsi="Times New Roman" w:cs="Times New Roman"/>
        </w:rPr>
        <w:t xml:space="preserve">, Aff. Jtes 28 à 30/62, R. 59, cité par Louis DUBOUIS et Claude GUEYDAN, </w:t>
      </w:r>
      <w:r w:rsidRPr="000D1BD6">
        <w:rPr>
          <w:rFonts w:ascii="Times New Roman" w:hAnsi="Times New Roman" w:cs="Times New Roman"/>
          <w:i/>
        </w:rPr>
        <w:t>Les grands textes du droit de l’Union européenne</w:t>
      </w:r>
      <w:r w:rsidRPr="000D1BD6">
        <w:rPr>
          <w:rFonts w:ascii="Times New Roman" w:hAnsi="Times New Roman" w:cs="Times New Roman"/>
        </w:rPr>
        <w:t xml:space="preserve">, </w:t>
      </w:r>
      <w:r w:rsidRPr="000D1BD6">
        <w:rPr>
          <w:rFonts w:ascii="Times New Roman" w:hAnsi="Times New Roman" w:cs="Times New Roman"/>
          <w:i/>
        </w:rPr>
        <w:t>op. cit</w:t>
      </w:r>
      <w:r w:rsidRPr="000D1BD6">
        <w:rPr>
          <w:rFonts w:ascii="Times New Roman" w:hAnsi="Times New Roman" w:cs="Times New Roman"/>
        </w:rPr>
        <w:t xml:space="preserve">., p. 262 et Jean-Louis CLERGERIE, </w:t>
      </w:r>
      <w:r w:rsidRPr="000D1BD6">
        <w:rPr>
          <w:rFonts w:ascii="Times New Roman" w:hAnsi="Times New Roman" w:cs="Times New Roman"/>
          <w:i/>
        </w:rPr>
        <w:t>Le renvoi préjudiciel</w:t>
      </w:r>
      <w:r w:rsidRPr="000D1BD6">
        <w:rPr>
          <w:rFonts w:ascii="Times New Roman" w:hAnsi="Times New Roman" w:cs="Times New Roman"/>
        </w:rPr>
        <w:t xml:space="preserve">, Ellipses, </w:t>
      </w:r>
      <w:r w:rsidRPr="000D1BD6">
        <w:rPr>
          <w:rFonts w:ascii="Times New Roman" w:hAnsi="Times New Roman" w:cs="Times New Roman"/>
          <w:i/>
        </w:rPr>
        <w:t>op. cit</w:t>
      </w:r>
      <w:r w:rsidRPr="000D1BD6">
        <w:rPr>
          <w:rFonts w:ascii="Times New Roman" w:hAnsi="Times New Roman" w:cs="Times New Roman"/>
        </w:rPr>
        <w:t>., p. 134.</w:t>
      </w:r>
    </w:p>
  </w:footnote>
  <w:footnote w:id="222">
    <w:p w:rsidR="00E52745" w:rsidRPr="000D1BD6" w:rsidRDefault="00E52745" w:rsidP="009419DD">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Jean-Louis CLERGERIE, </w:t>
      </w:r>
      <w:r w:rsidRPr="000D1BD6">
        <w:rPr>
          <w:rFonts w:ascii="Times New Roman" w:hAnsi="Times New Roman" w:cs="Times New Roman"/>
          <w:i/>
        </w:rPr>
        <w:t>Le renvoi préjudiciel</w:t>
      </w:r>
      <w:r w:rsidRPr="000D1BD6">
        <w:rPr>
          <w:rFonts w:ascii="Times New Roman" w:hAnsi="Times New Roman" w:cs="Times New Roman"/>
        </w:rPr>
        <w:t xml:space="preserve">, Ellipses, </w:t>
      </w:r>
      <w:r w:rsidRPr="000D1BD6">
        <w:rPr>
          <w:rFonts w:ascii="Times New Roman" w:hAnsi="Times New Roman" w:cs="Times New Roman"/>
          <w:i/>
        </w:rPr>
        <w:t>op. cit</w:t>
      </w:r>
      <w:r w:rsidRPr="000D1BD6">
        <w:rPr>
          <w:rFonts w:ascii="Times New Roman" w:hAnsi="Times New Roman" w:cs="Times New Roman"/>
        </w:rPr>
        <w:t>., p. 138.</w:t>
      </w:r>
    </w:p>
  </w:footnote>
  <w:footnote w:id="223">
    <w:p w:rsidR="00E52745" w:rsidRPr="000D1BD6" w:rsidRDefault="00E52745" w:rsidP="001019F9">
      <w:pPr>
        <w:pStyle w:val="Notedebasdepage"/>
        <w:tabs>
          <w:tab w:val="left" w:pos="6186"/>
          <w:tab w:val="right" w:pos="9072"/>
        </w:tabs>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i/>
        </w:rPr>
        <w:t>Ibid</w:t>
      </w:r>
      <w:r w:rsidRPr="000D1BD6">
        <w:rPr>
          <w:rFonts w:ascii="Times New Roman" w:hAnsi="Times New Roman" w:cs="Times New Roman"/>
        </w:rPr>
        <w:t>.</w:t>
      </w:r>
      <w:r w:rsidRPr="000D1BD6">
        <w:rPr>
          <w:rFonts w:ascii="Times New Roman" w:hAnsi="Times New Roman" w:cs="Times New Roman"/>
        </w:rPr>
        <w:tab/>
      </w:r>
    </w:p>
  </w:footnote>
  <w:footnote w:id="224">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Jean BOULOUIS, </w:t>
      </w:r>
      <w:r w:rsidRPr="000D1BD6">
        <w:rPr>
          <w:rFonts w:ascii="Times New Roman" w:hAnsi="Times New Roman" w:cs="Times New Roman"/>
          <w:i/>
        </w:rPr>
        <w:t>Droit institutionnel de l’Union européenne</w:t>
      </w:r>
      <w:r w:rsidRPr="000D1BD6">
        <w:rPr>
          <w:rFonts w:ascii="Times New Roman" w:hAnsi="Times New Roman" w:cs="Times New Roman"/>
        </w:rPr>
        <w:t>, 5</w:t>
      </w:r>
      <w:r w:rsidRPr="000D1BD6">
        <w:rPr>
          <w:rFonts w:ascii="Times New Roman" w:hAnsi="Times New Roman" w:cs="Times New Roman"/>
          <w:vertAlign w:val="superscript"/>
        </w:rPr>
        <w:t>ème</w:t>
      </w:r>
      <w:r w:rsidRPr="000D1BD6">
        <w:rPr>
          <w:rFonts w:ascii="Times New Roman" w:hAnsi="Times New Roman" w:cs="Times New Roman"/>
        </w:rPr>
        <w:t xml:space="preserve"> éd., </w:t>
      </w:r>
      <w:r w:rsidRPr="000D1BD6">
        <w:rPr>
          <w:rFonts w:ascii="Times New Roman" w:hAnsi="Times New Roman" w:cs="Times New Roman"/>
          <w:i/>
        </w:rPr>
        <w:t>op. cit.</w:t>
      </w:r>
      <w:r w:rsidRPr="000D1BD6">
        <w:rPr>
          <w:rFonts w:ascii="Times New Roman" w:hAnsi="Times New Roman" w:cs="Times New Roman"/>
        </w:rPr>
        <w:t>, p. 315.</w:t>
      </w:r>
    </w:p>
  </w:footnote>
  <w:footnote w:id="225">
    <w:p w:rsidR="00E52745" w:rsidRPr="000D1BD6" w:rsidRDefault="00E52745" w:rsidP="00F348B8">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02 mars 1989, </w:t>
      </w:r>
      <w:r w:rsidRPr="000D1BD6">
        <w:rPr>
          <w:rFonts w:ascii="Times New Roman" w:hAnsi="Times New Roman" w:cs="Times New Roman"/>
          <w:i/>
        </w:rPr>
        <w:t>Pinna c/ Caisse d’Allocations Familiales de la Savoie</w:t>
      </w:r>
      <w:r w:rsidRPr="000D1BD6">
        <w:rPr>
          <w:rFonts w:ascii="Times New Roman" w:hAnsi="Times New Roman" w:cs="Times New Roman"/>
        </w:rPr>
        <w:t xml:space="preserve">, Aff. 359/87, point 13 et 14, cité par Jean-Louis CLERGERIE, </w:t>
      </w:r>
      <w:r w:rsidRPr="000D1BD6">
        <w:rPr>
          <w:rFonts w:ascii="Times New Roman" w:hAnsi="Times New Roman" w:cs="Times New Roman"/>
          <w:i/>
        </w:rPr>
        <w:t>Le renvoi préjudiciel</w:t>
      </w:r>
      <w:r w:rsidRPr="000D1BD6">
        <w:rPr>
          <w:rFonts w:ascii="Times New Roman" w:hAnsi="Times New Roman" w:cs="Times New Roman"/>
        </w:rPr>
        <w:t xml:space="preserve">, Ellipses, </w:t>
      </w:r>
      <w:r w:rsidRPr="000D1BD6">
        <w:rPr>
          <w:rFonts w:ascii="Times New Roman" w:hAnsi="Times New Roman" w:cs="Times New Roman"/>
          <w:i/>
        </w:rPr>
        <w:t>op. cit</w:t>
      </w:r>
      <w:r w:rsidRPr="000D1BD6">
        <w:rPr>
          <w:rFonts w:ascii="Times New Roman" w:hAnsi="Times New Roman" w:cs="Times New Roman"/>
        </w:rPr>
        <w:t>., p. 138.</w:t>
      </w:r>
    </w:p>
  </w:footnote>
  <w:footnote w:id="226">
    <w:p w:rsidR="00E52745" w:rsidRPr="000D1BD6" w:rsidRDefault="00E52745" w:rsidP="00C54E7B">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30 octobre 1975, </w:t>
      </w:r>
      <w:r w:rsidRPr="000D1BD6">
        <w:rPr>
          <w:rFonts w:ascii="Times New Roman" w:hAnsi="Times New Roman" w:cs="Times New Roman"/>
          <w:i/>
        </w:rPr>
        <w:t>Rey Soda</w:t>
      </w:r>
      <w:r w:rsidRPr="000D1BD6">
        <w:rPr>
          <w:rFonts w:ascii="Times New Roman" w:hAnsi="Times New Roman" w:cs="Times New Roman"/>
        </w:rPr>
        <w:t xml:space="preserve">, Aff. 23/75, cité par Jean-Louis CLERGERIE, </w:t>
      </w:r>
      <w:r w:rsidRPr="000D1BD6">
        <w:rPr>
          <w:rFonts w:ascii="Times New Roman" w:hAnsi="Times New Roman" w:cs="Times New Roman"/>
          <w:i/>
        </w:rPr>
        <w:t>ibid</w:t>
      </w:r>
      <w:r w:rsidRPr="000D1BD6">
        <w:rPr>
          <w:rFonts w:ascii="Times New Roman" w:hAnsi="Times New Roman" w:cs="Times New Roman"/>
        </w:rPr>
        <w:t>.</w:t>
      </w:r>
    </w:p>
  </w:footnote>
  <w:footnote w:id="227">
    <w:p w:rsidR="00E52745" w:rsidRPr="000D1BD6" w:rsidRDefault="00E52745" w:rsidP="002A278C">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Jean-Louis CLERGERIE, </w:t>
      </w:r>
      <w:r w:rsidRPr="000D1BD6">
        <w:rPr>
          <w:rFonts w:ascii="Times New Roman" w:hAnsi="Times New Roman" w:cs="Times New Roman"/>
          <w:i/>
        </w:rPr>
        <w:t>Le renvoi préjudiciel</w:t>
      </w:r>
      <w:r w:rsidRPr="000D1BD6">
        <w:rPr>
          <w:rFonts w:ascii="Times New Roman" w:hAnsi="Times New Roman" w:cs="Times New Roman"/>
        </w:rPr>
        <w:t xml:space="preserve">, Ellipses, </w:t>
      </w:r>
      <w:r w:rsidRPr="000D1BD6">
        <w:rPr>
          <w:rFonts w:ascii="Times New Roman" w:hAnsi="Times New Roman" w:cs="Times New Roman"/>
          <w:i/>
        </w:rPr>
        <w:t>op. cit</w:t>
      </w:r>
      <w:r w:rsidRPr="000D1BD6">
        <w:rPr>
          <w:rFonts w:ascii="Times New Roman" w:hAnsi="Times New Roman" w:cs="Times New Roman"/>
        </w:rPr>
        <w:t>., p. 156.</w:t>
      </w:r>
    </w:p>
  </w:footnote>
  <w:footnote w:id="228">
    <w:p w:rsidR="00E52745" w:rsidRPr="000D1BD6" w:rsidRDefault="00E52745" w:rsidP="00EE29B6">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27 février 1985, </w:t>
      </w:r>
      <w:r w:rsidRPr="000D1BD6">
        <w:rPr>
          <w:rFonts w:ascii="Times New Roman" w:hAnsi="Times New Roman" w:cs="Times New Roman"/>
          <w:i/>
        </w:rPr>
        <w:t>Société des produits de maïs SA c/Administration des douanes</w:t>
      </w:r>
      <w:r w:rsidRPr="000D1BD6">
        <w:rPr>
          <w:rFonts w:ascii="Times New Roman" w:hAnsi="Times New Roman" w:cs="Times New Roman"/>
        </w:rPr>
        <w:t>, Aff. 112/83, Rec., p. 719, cité par Louis DUBOUIS et Claude GUEYDAN</w:t>
      </w:r>
      <w:r w:rsidRPr="000D1BD6">
        <w:rPr>
          <w:rFonts w:ascii="Times New Roman" w:hAnsi="Times New Roman" w:cs="Times New Roman"/>
          <w:i/>
        </w:rPr>
        <w:t>, Les grands textes du droit de l’Union européenne</w:t>
      </w:r>
      <w:r w:rsidRPr="000D1BD6">
        <w:rPr>
          <w:rFonts w:ascii="Times New Roman" w:hAnsi="Times New Roman" w:cs="Times New Roman"/>
        </w:rPr>
        <w:t xml:space="preserve">, </w:t>
      </w:r>
      <w:r w:rsidRPr="000D1BD6">
        <w:rPr>
          <w:rFonts w:ascii="Times New Roman" w:hAnsi="Times New Roman" w:cs="Times New Roman"/>
          <w:i/>
        </w:rPr>
        <w:t>op. cit.</w:t>
      </w:r>
      <w:r w:rsidRPr="000D1BD6">
        <w:rPr>
          <w:rFonts w:ascii="Times New Roman" w:hAnsi="Times New Roman" w:cs="Times New Roman"/>
        </w:rPr>
        <w:t xml:space="preserve">, p. 270. </w:t>
      </w:r>
    </w:p>
  </w:footnote>
  <w:footnote w:id="229">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15 Octobre 1980, </w:t>
      </w:r>
      <w:r w:rsidRPr="000D1BD6">
        <w:rPr>
          <w:rFonts w:ascii="Times New Roman" w:hAnsi="Times New Roman" w:cs="Times New Roman"/>
          <w:i/>
        </w:rPr>
        <w:t>Providence agricole</w:t>
      </w:r>
      <w:r w:rsidRPr="000D1BD6">
        <w:rPr>
          <w:rFonts w:ascii="Times New Roman" w:hAnsi="Times New Roman" w:cs="Times New Roman"/>
        </w:rPr>
        <w:t xml:space="preserve">, Aff. 4/79, cité par Jean BOULOUIS, </w:t>
      </w:r>
      <w:r w:rsidRPr="000D1BD6">
        <w:rPr>
          <w:rFonts w:ascii="Times New Roman" w:hAnsi="Times New Roman" w:cs="Times New Roman"/>
          <w:i/>
        </w:rPr>
        <w:t>op. cit</w:t>
      </w:r>
      <w:r w:rsidRPr="000D1BD6">
        <w:rPr>
          <w:rFonts w:ascii="Times New Roman" w:hAnsi="Times New Roman" w:cs="Times New Roman"/>
        </w:rPr>
        <w:t>., p. 316.</w:t>
      </w:r>
    </w:p>
  </w:footnote>
  <w:footnote w:id="230">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13 mai 1981, </w:t>
      </w:r>
      <w:r w:rsidRPr="000D1BD6">
        <w:rPr>
          <w:rFonts w:ascii="Times New Roman" w:hAnsi="Times New Roman" w:cs="Times New Roman"/>
          <w:i/>
        </w:rPr>
        <w:t>International Chemical Company</w:t>
      </w:r>
      <w:r w:rsidRPr="000D1BD6">
        <w:rPr>
          <w:rFonts w:ascii="Times New Roman" w:hAnsi="Times New Roman" w:cs="Times New Roman"/>
        </w:rPr>
        <w:t xml:space="preserve">, Aff. 66/80, point 13, cité par Jean BOULOUIS, </w:t>
      </w:r>
      <w:r w:rsidRPr="000D1BD6">
        <w:rPr>
          <w:rFonts w:ascii="Times New Roman" w:hAnsi="Times New Roman" w:cs="Times New Roman"/>
          <w:i/>
        </w:rPr>
        <w:t>op. cit</w:t>
      </w:r>
      <w:r w:rsidRPr="000D1BD6">
        <w:rPr>
          <w:rFonts w:ascii="Times New Roman" w:hAnsi="Times New Roman" w:cs="Times New Roman"/>
        </w:rPr>
        <w:t xml:space="preserve">., p. 315 et Jean-Louis CLERGERIE, </w:t>
      </w:r>
      <w:r w:rsidRPr="000D1BD6">
        <w:rPr>
          <w:rFonts w:ascii="Times New Roman" w:hAnsi="Times New Roman" w:cs="Times New Roman"/>
          <w:i/>
        </w:rPr>
        <w:t>op. cit</w:t>
      </w:r>
      <w:r w:rsidRPr="000D1BD6">
        <w:rPr>
          <w:rFonts w:ascii="Times New Roman" w:hAnsi="Times New Roman" w:cs="Times New Roman"/>
        </w:rPr>
        <w:t>., p. 139.</w:t>
      </w:r>
    </w:p>
  </w:footnote>
  <w:footnote w:id="231">
    <w:p w:rsidR="00E52745" w:rsidRPr="000D1BD6" w:rsidRDefault="00E52745" w:rsidP="008A2795">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26 février 1987, </w:t>
      </w:r>
      <w:r w:rsidRPr="000D1BD6">
        <w:rPr>
          <w:rFonts w:ascii="Times New Roman" w:hAnsi="Times New Roman" w:cs="Times New Roman"/>
          <w:i/>
        </w:rPr>
        <w:t>Consorzio Coopérative d’Abruzzo</w:t>
      </w:r>
      <w:r w:rsidRPr="000D1BD6">
        <w:rPr>
          <w:rFonts w:ascii="Times New Roman" w:hAnsi="Times New Roman" w:cs="Times New Roman"/>
        </w:rPr>
        <w:t xml:space="preserve">, Aff. 15/85, R. 1087, cité par Jean-Louis CLERGERIE, </w:t>
      </w:r>
      <w:r w:rsidRPr="000D1BD6">
        <w:rPr>
          <w:rFonts w:ascii="Times New Roman" w:hAnsi="Times New Roman" w:cs="Times New Roman"/>
          <w:i/>
        </w:rPr>
        <w:t>op. cit</w:t>
      </w:r>
      <w:r w:rsidRPr="000D1BD6">
        <w:rPr>
          <w:rFonts w:ascii="Times New Roman" w:hAnsi="Times New Roman" w:cs="Times New Roman"/>
        </w:rPr>
        <w:t>., p. 143.</w:t>
      </w:r>
    </w:p>
  </w:footnote>
  <w:footnote w:id="232">
    <w:p w:rsidR="00E52745" w:rsidRPr="000D1BD6" w:rsidRDefault="00E52745" w:rsidP="00D57E30">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i/>
        </w:rPr>
        <w:t>Ibid</w:t>
      </w:r>
      <w:r w:rsidRPr="000D1BD6">
        <w:rPr>
          <w:rFonts w:ascii="Times New Roman" w:hAnsi="Times New Roman" w:cs="Times New Roman"/>
        </w:rPr>
        <w:t>.</w:t>
      </w:r>
    </w:p>
  </w:footnote>
  <w:footnote w:id="233">
    <w:p w:rsidR="00E52745" w:rsidRPr="000D1BD6" w:rsidRDefault="00E52745" w:rsidP="00662CA0">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04 octobre 1979, </w:t>
      </w:r>
      <w:r w:rsidRPr="000D1BD6">
        <w:rPr>
          <w:rFonts w:ascii="Times New Roman" w:hAnsi="Times New Roman" w:cs="Times New Roman"/>
          <w:i/>
        </w:rPr>
        <w:t>IreksArkady c/ Commission</w:t>
      </w:r>
      <w:r w:rsidRPr="000D1BD6">
        <w:rPr>
          <w:rFonts w:ascii="Times New Roman" w:hAnsi="Times New Roman" w:cs="Times New Roman"/>
        </w:rPr>
        <w:t xml:space="preserve">, Aff. 238/78, R. 2955, cité par Jean-Louis CLERGERIE, </w:t>
      </w:r>
      <w:r w:rsidRPr="000D1BD6">
        <w:rPr>
          <w:rFonts w:ascii="Times New Roman" w:hAnsi="Times New Roman" w:cs="Times New Roman"/>
          <w:i/>
        </w:rPr>
        <w:t>op. cit</w:t>
      </w:r>
      <w:r w:rsidRPr="000D1BD6">
        <w:rPr>
          <w:rFonts w:ascii="Times New Roman" w:hAnsi="Times New Roman" w:cs="Times New Roman"/>
        </w:rPr>
        <w:t>., p. 143.</w:t>
      </w:r>
    </w:p>
  </w:footnote>
  <w:footnote w:id="234">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C’est-à-dire du Traité qui fonde la CEDEAO et des actes assimilés à ce dernier.</w:t>
      </w:r>
    </w:p>
  </w:footnote>
  <w:footnote w:id="235">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C’est-à-dire des actes adoptés par les institutions de la communauté. Plus précisément, il s’agit des règlements, des directives, des décisions, des avis et recommandations adoptés au sein de la CEDEAO.</w:t>
      </w:r>
    </w:p>
  </w:footnote>
  <w:footnote w:id="236">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On les rencontre beaucoup plus dans le système communautaire de l’Union européenne et sont perceptibles à la fois à l’égard des juridictions nationales et à la Cour de justice de l’Union. Pour les premières, ces difficultés renvoient au recours à l’utilisation de la théorie de l’acte clair ou de la règle du précédent jurisprudentiel ou encore à la réticence de  la juridiction de renvoi vis-à-vis de l’arrêt préjudiciel, selon qu’il soit rendu en matière d’interprétation ou d’appréciation de validité d’un acte de l’Union. Pour la Seconde, ces difficultés renvoient aux différents obstacles rencontrés par le juge communautaire dans l’exercice de sa mission préjudicielle. Il peut s’agir des situations de retrait très tardif de la demande préjudicielle par la juridiction de renvoi, ou encore du pouvoir de reformulation de la question par le juge communautaire ou même du choix de la question à laquelle répondre par ce dernier.</w:t>
      </w:r>
    </w:p>
  </w:footnote>
  <w:footnote w:id="237">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On les rencontre beaucoup plus dans le système communautaire de l’Afrique de l’Ouest et particulièrement celui de la CEDEAO. Elles sont à la fois l’apanage des instances nationales des Etats membres et de la Cour de justice de la Communauté CEDEAO. Pour les premières, ces difficultés ont trait, d’une part, à l’ignorance du droit CEDEAO par les juges nationaux et par les Citoyens de l’espace CEDEAO, compte tenu de son caractère émergent et multidisciplinaire. D’autre part, ces difficultés renvoient au laxisme du législateur CEDEAO de 2005 qui consacre le renvoi préjudiciel sans instituer une distinction de ce renvoi selon le degré de la juridiction nationale et sans prévoir des sanctions particulières en cas des violations des règles préjudicielles.  Pour la Seconde, outre l’absence du précédent jurisprudentiel en matière préjudicielle et de son actuelle préoccupation, ces difficultés renvoient à l’absence d’auto-saisine par la Cour de justice de la Communauté, alors même pour qu’elle puisse prendre en charge toutes les préoccupations du juge national, celle-ci devrait avoir connaissance des faits à l’origine de la question.</w:t>
      </w:r>
    </w:p>
  </w:footnote>
  <w:footnote w:id="238">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Notamment dans le système communautaire européen, UEMOA, CEMAC et COMESA.</w:t>
      </w:r>
    </w:p>
  </w:footnote>
  <w:footnote w:id="239">
    <w:p w:rsidR="00E52745" w:rsidRPr="000D1BD6" w:rsidRDefault="00E52745" w:rsidP="001F1A6D">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Joe VERHOEVEN, </w:t>
      </w:r>
      <w:r w:rsidRPr="000D1BD6">
        <w:rPr>
          <w:rFonts w:ascii="Times New Roman" w:hAnsi="Times New Roman" w:cs="Times New Roman"/>
          <w:i/>
        </w:rPr>
        <w:t>Droit de la Communauté européenne</w:t>
      </w:r>
      <w:r w:rsidRPr="000D1BD6">
        <w:rPr>
          <w:rFonts w:ascii="Times New Roman" w:hAnsi="Times New Roman" w:cs="Times New Roman"/>
        </w:rPr>
        <w:t xml:space="preserve">, </w:t>
      </w:r>
      <w:r w:rsidRPr="000D1BD6">
        <w:rPr>
          <w:rFonts w:ascii="Times New Roman" w:hAnsi="Times New Roman" w:cs="Times New Roman"/>
          <w:i/>
        </w:rPr>
        <w:t>op. cit.</w:t>
      </w:r>
      <w:r w:rsidRPr="000D1BD6">
        <w:rPr>
          <w:rFonts w:ascii="Times New Roman" w:hAnsi="Times New Roman" w:cs="Times New Roman"/>
        </w:rPr>
        <w:t>, p. 312.</w:t>
      </w:r>
    </w:p>
  </w:footnote>
  <w:footnote w:id="240">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Naiké LEPOUTRE, « Le renvoi préjudiciel et l’instauration d’un dialogue des juges : le cas de la Cour de Justice de l’Union européenne et du juge administratif français », </w:t>
      </w:r>
      <w:r w:rsidRPr="000D1BD6">
        <w:rPr>
          <w:rFonts w:ascii="Times New Roman" w:hAnsi="Times New Roman" w:cs="Times New Roman"/>
          <w:i/>
        </w:rPr>
        <w:t>op. cit</w:t>
      </w:r>
      <w:r w:rsidRPr="000D1BD6">
        <w:rPr>
          <w:rFonts w:ascii="Times New Roman" w:hAnsi="Times New Roman" w:cs="Times New Roman"/>
        </w:rPr>
        <w:t>., p. 50.</w:t>
      </w:r>
    </w:p>
  </w:footnote>
  <w:footnote w:id="241">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Cf. Denys SIMON, « Questions préjudicielles. Pertinence de la question. Non-lieu à statuer », </w:t>
      </w:r>
      <w:r w:rsidRPr="000D1BD6">
        <w:rPr>
          <w:rFonts w:ascii="Times New Roman" w:hAnsi="Times New Roman" w:cs="Times New Roman"/>
          <w:i/>
        </w:rPr>
        <w:t>Europe</w:t>
      </w:r>
      <w:r w:rsidRPr="000D1BD6">
        <w:rPr>
          <w:rFonts w:ascii="Times New Roman" w:hAnsi="Times New Roman" w:cs="Times New Roman"/>
        </w:rPr>
        <w:t xml:space="preserve">, août-septembre 1992, n°304, p. 6 et 7, cité par Jean-Louis CLERGERIE, </w:t>
      </w:r>
      <w:r w:rsidRPr="000D1BD6">
        <w:rPr>
          <w:rFonts w:ascii="Times New Roman" w:hAnsi="Times New Roman" w:cs="Times New Roman"/>
          <w:i/>
        </w:rPr>
        <w:t>op. cit</w:t>
      </w:r>
      <w:r w:rsidRPr="000D1BD6">
        <w:rPr>
          <w:rFonts w:ascii="Times New Roman" w:hAnsi="Times New Roman" w:cs="Times New Roman"/>
        </w:rPr>
        <w:t>., p. 44.</w:t>
      </w:r>
    </w:p>
  </w:footnote>
  <w:footnote w:id="242">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C’est-à-dire celles dont les décisions sont insusceptibles de recours juridictionnel de droit interne.</w:t>
      </w:r>
    </w:p>
  </w:footnote>
  <w:footnote w:id="243">
    <w:p w:rsidR="00E52745" w:rsidRPr="000D1BD6" w:rsidRDefault="00E52745" w:rsidP="003230E4">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Cet adage signifie qu’il n’y a pas lieu d’interpréter une disposition dont la signification ne prête pas à doute. </w:t>
      </w:r>
    </w:p>
  </w:footnote>
  <w:footnote w:id="244">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Naiké LEPOUTRE, « Le renvoi préjudiciel et l’instauration d’un dialogue des juges : le cas de la Cour de Justice de l’Union européenne et du juge administratif français », </w:t>
      </w:r>
      <w:r w:rsidRPr="000D1BD6">
        <w:rPr>
          <w:rFonts w:ascii="Times New Roman" w:hAnsi="Times New Roman" w:cs="Times New Roman"/>
          <w:i/>
        </w:rPr>
        <w:t>op. cit.</w:t>
      </w:r>
      <w:r w:rsidRPr="000D1BD6">
        <w:rPr>
          <w:rFonts w:ascii="Times New Roman" w:hAnsi="Times New Roman" w:cs="Times New Roman"/>
        </w:rPr>
        <w:t>, p. 51.</w:t>
      </w:r>
    </w:p>
  </w:footnote>
  <w:footnote w:id="245">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6 octobre 1982, </w:t>
      </w:r>
      <w:r w:rsidRPr="000D1BD6">
        <w:rPr>
          <w:rFonts w:ascii="Times New Roman" w:hAnsi="Times New Roman" w:cs="Times New Roman"/>
          <w:i/>
        </w:rPr>
        <w:t>CILFIT c/ Ministère de la santé</w:t>
      </w:r>
      <w:r w:rsidRPr="000D1BD6">
        <w:rPr>
          <w:rFonts w:ascii="Times New Roman" w:hAnsi="Times New Roman" w:cs="Times New Roman"/>
        </w:rPr>
        <w:t>, Aff. 283/81, point 16.</w:t>
      </w:r>
    </w:p>
  </w:footnote>
  <w:footnote w:id="246">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i/>
        </w:rPr>
        <w:t>Ibid.</w:t>
      </w:r>
    </w:p>
  </w:footnote>
  <w:footnote w:id="247">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H. LABAYLE, « Le Conseil d’Etat et le renvoi préjudiciel à la CJCE », </w:t>
      </w:r>
      <w:r w:rsidRPr="000D1BD6">
        <w:rPr>
          <w:rFonts w:ascii="Times New Roman" w:hAnsi="Times New Roman" w:cs="Times New Roman"/>
          <w:i/>
        </w:rPr>
        <w:t>AJDA</w:t>
      </w:r>
      <w:r w:rsidRPr="000D1BD6">
        <w:rPr>
          <w:rFonts w:ascii="Times New Roman" w:hAnsi="Times New Roman" w:cs="Times New Roman"/>
        </w:rPr>
        <w:t xml:space="preserve">, 1983, p. 155, cité par Naiké LEPOUTRE, « Le renvoi préjudiciel et l’instauration d’un dialogue des juges : le cas de la Cour de Justice de l’Union européenne et du juge administratif français », </w:t>
      </w:r>
      <w:r w:rsidRPr="000D1BD6">
        <w:rPr>
          <w:rFonts w:ascii="Times New Roman" w:hAnsi="Times New Roman" w:cs="Times New Roman"/>
          <w:i/>
        </w:rPr>
        <w:t>op. cit</w:t>
      </w:r>
      <w:r w:rsidRPr="000D1BD6">
        <w:rPr>
          <w:rFonts w:ascii="Times New Roman" w:hAnsi="Times New Roman" w:cs="Times New Roman"/>
        </w:rPr>
        <w:t>., p. 52.</w:t>
      </w:r>
    </w:p>
  </w:footnote>
  <w:footnote w:id="248">
    <w:p w:rsidR="00E52745" w:rsidRPr="000D1BD6" w:rsidRDefault="00E52745" w:rsidP="008F638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Serge GUINCHARD et Thierry DEBARD, </w:t>
      </w:r>
      <w:r w:rsidRPr="000D1BD6">
        <w:rPr>
          <w:rFonts w:ascii="Times New Roman" w:hAnsi="Times New Roman" w:cs="Times New Roman"/>
          <w:i/>
        </w:rPr>
        <w:t>Lexique des termes juridiques</w:t>
      </w:r>
      <w:r w:rsidRPr="000D1BD6">
        <w:rPr>
          <w:rFonts w:ascii="Times New Roman" w:hAnsi="Times New Roman" w:cs="Times New Roman"/>
        </w:rPr>
        <w:t>, 21</w:t>
      </w:r>
      <w:r w:rsidRPr="000D1BD6">
        <w:rPr>
          <w:rFonts w:ascii="Times New Roman" w:hAnsi="Times New Roman" w:cs="Times New Roman"/>
          <w:vertAlign w:val="superscript"/>
        </w:rPr>
        <w:t>ème</w:t>
      </w:r>
      <w:r w:rsidRPr="000D1BD6">
        <w:rPr>
          <w:rFonts w:ascii="Times New Roman" w:hAnsi="Times New Roman" w:cs="Times New Roman"/>
        </w:rPr>
        <w:t xml:space="preserve"> éd., p. 717.</w:t>
      </w:r>
    </w:p>
  </w:footnote>
  <w:footnote w:id="249">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Naiké LEPOUTRE, </w:t>
      </w:r>
      <w:r w:rsidRPr="000D1BD6">
        <w:rPr>
          <w:rFonts w:ascii="Times New Roman" w:hAnsi="Times New Roman" w:cs="Times New Roman"/>
          <w:i/>
        </w:rPr>
        <w:t>op. cit.</w:t>
      </w:r>
      <w:r w:rsidRPr="000D1BD6">
        <w:rPr>
          <w:rFonts w:ascii="Times New Roman" w:hAnsi="Times New Roman" w:cs="Times New Roman"/>
        </w:rPr>
        <w:t>, pp. 52-53.</w:t>
      </w:r>
    </w:p>
  </w:footnote>
  <w:footnote w:id="250">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27 mars 1963,</w:t>
      </w:r>
      <w:r w:rsidRPr="000D1BD6">
        <w:rPr>
          <w:rFonts w:ascii="Times New Roman" w:hAnsi="Times New Roman" w:cs="Times New Roman"/>
          <w:i/>
        </w:rPr>
        <w:t xml:space="preserve"> Da costa</w:t>
      </w:r>
      <w:r w:rsidRPr="000D1BD6">
        <w:rPr>
          <w:rFonts w:ascii="Times New Roman" w:hAnsi="Times New Roman" w:cs="Times New Roman"/>
        </w:rPr>
        <w:t xml:space="preserve">, Aff. 28 à 30/62, Rec., pp. 75-76. Pour les faits de cet arrêt, voy. Louis DUBOUIS et Claude GUEYDAN, </w:t>
      </w:r>
      <w:r w:rsidRPr="000D1BD6">
        <w:rPr>
          <w:rFonts w:ascii="Times New Roman" w:hAnsi="Times New Roman" w:cs="Times New Roman"/>
          <w:i/>
        </w:rPr>
        <w:t>Les grands textes du droit de l’Union européenne</w:t>
      </w:r>
      <w:r w:rsidRPr="000D1BD6">
        <w:rPr>
          <w:rFonts w:ascii="Times New Roman" w:hAnsi="Times New Roman" w:cs="Times New Roman"/>
        </w:rPr>
        <w:t xml:space="preserve">, </w:t>
      </w:r>
      <w:r w:rsidRPr="000D1BD6">
        <w:rPr>
          <w:rFonts w:ascii="Times New Roman" w:hAnsi="Times New Roman" w:cs="Times New Roman"/>
          <w:i/>
        </w:rPr>
        <w:t>op. cit</w:t>
      </w:r>
      <w:r w:rsidRPr="000D1BD6">
        <w:rPr>
          <w:rFonts w:ascii="Times New Roman" w:hAnsi="Times New Roman" w:cs="Times New Roman"/>
        </w:rPr>
        <w:t>., p. 262.</w:t>
      </w:r>
    </w:p>
  </w:footnote>
  <w:footnote w:id="251">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Cette exception à l’obligation de renvoi ne concerne pas les renvois en appréciation de validité. Seules sont visées les questions d’interprétation du droit communautaire. Pour plus de précision sur ce point, consultez Jean-Louis CLERGERIE, </w:t>
      </w:r>
      <w:r w:rsidRPr="000D1BD6">
        <w:rPr>
          <w:rFonts w:ascii="Times New Roman" w:hAnsi="Times New Roman" w:cs="Times New Roman"/>
          <w:i/>
        </w:rPr>
        <w:t>Le renvoi préjudiciel</w:t>
      </w:r>
      <w:r w:rsidRPr="000D1BD6">
        <w:rPr>
          <w:rFonts w:ascii="Times New Roman" w:hAnsi="Times New Roman" w:cs="Times New Roman"/>
        </w:rPr>
        <w:t xml:space="preserve">, Ellipses, </w:t>
      </w:r>
      <w:r w:rsidRPr="000D1BD6">
        <w:rPr>
          <w:rFonts w:ascii="Times New Roman" w:hAnsi="Times New Roman" w:cs="Times New Roman"/>
          <w:i/>
        </w:rPr>
        <w:t>op. cit</w:t>
      </w:r>
      <w:r w:rsidRPr="000D1BD6">
        <w:rPr>
          <w:rFonts w:ascii="Times New Roman" w:hAnsi="Times New Roman" w:cs="Times New Roman"/>
        </w:rPr>
        <w:t>., p. 54.</w:t>
      </w:r>
    </w:p>
  </w:footnote>
  <w:footnote w:id="252">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Voir, Naiké LEPOUTRE, « Le renvoi préjudiciel et l’instauration d’un dialogue des juges : le cas de la Cour de Justice de l’Union européenne et du juge administratif français », </w:t>
      </w:r>
      <w:r w:rsidRPr="000D1BD6">
        <w:rPr>
          <w:rFonts w:ascii="Times New Roman" w:hAnsi="Times New Roman" w:cs="Times New Roman"/>
          <w:i/>
        </w:rPr>
        <w:t>op. cit</w:t>
      </w:r>
      <w:r w:rsidRPr="000D1BD6">
        <w:rPr>
          <w:rFonts w:ascii="Times New Roman" w:hAnsi="Times New Roman" w:cs="Times New Roman"/>
        </w:rPr>
        <w:t>., p. 55.</w:t>
      </w:r>
    </w:p>
  </w:footnote>
  <w:footnote w:id="253">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Bruno GENEVOIS, « Le Conseil d’Etat et l’ordre juridique communautaire », </w:t>
      </w:r>
      <w:r w:rsidRPr="000D1BD6">
        <w:rPr>
          <w:rFonts w:ascii="Times New Roman" w:hAnsi="Times New Roman" w:cs="Times New Roman"/>
          <w:i/>
        </w:rPr>
        <w:t>EDCE</w:t>
      </w:r>
      <w:r w:rsidRPr="000D1BD6">
        <w:rPr>
          <w:rFonts w:ascii="Times New Roman" w:hAnsi="Times New Roman" w:cs="Times New Roman"/>
        </w:rPr>
        <w:t xml:space="preserve"> 1979-1980, p. 86, cité par Naiké LEPOUTRE, </w:t>
      </w:r>
      <w:r w:rsidRPr="000D1BD6">
        <w:rPr>
          <w:rFonts w:ascii="Times New Roman" w:hAnsi="Times New Roman" w:cs="Times New Roman"/>
          <w:i/>
        </w:rPr>
        <w:t>op. cit.,</w:t>
      </w:r>
      <w:r w:rsidRPr="000D1BD6">
        <w:rPr>
          <w:rFonts w:ascii="Times New Roman" w:hAnsi="Times New Roman" w:cs="Times New Roman"/>
        </w:rPr>
        <w:t xml:space="preserve"> p. 53.</w:t>
      </w:r>
    </w:p>
  </w:footnote>
  <w:footnote w:id="254">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Jean-Louis CLERGERIE, </w:t>
      </w:r>
      <w:r w:rsidRPr="000D1BD6">
        <w:rPr>
          <w:rFonts w:ascii="Times New Roman" w:hAnsi="Times New Roman" w:cs="Times New Roman"/>
          <w:i/>
        </w:rPr>
        <w:t>Le renvoi préjudiciel, op. cit</w:t>
      </w:r>
      <w:r w:rsidRPr="000D1BD6">
        <w:rPr>
          <w:rFonts w:ascii="Times New Roman" w:hAnsi="Times New Roman" w:cs="Times New Roman"/>
        </w:rPr>
        <w:t>., p. 55.</w:t>
      </w:r>
    </w:p>
  </w:footnote>
  <w:footnote w:id="255">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En droit communautaire européen, la juridiction nationale auteure de la question supporte les coups de traduction de la décision de renvoi dans toutes les langues officielles de la communauté. Pour plus de précision sur ce point voir, Alain GROJEAN,  « La recevabilité du renvoi préjudiciel et reformulation par la Cour de Justice de l’Union européenne », </w:t>
      </w:r>
      <w:r w:rsidRPr="000D1BD6">
        <w:rPr>
          <w:rFonts w:ascii="Times New Roman" w:hAnsi="Times New Roman" w:cs="Times New Roman"/>
          <w:i/>
        </w:rPr>
        <w:t>op. cit</w:t>
      </w:r>
      <w:r w:rsidRPr="000D1BD6">
        <w:rPr>
          <w:rFonts w:ascii="Times New Roman" w:hAnsi="Times New Roman" w:cs="Times New Roman"/>
        </w:rPr>
        <w:t>., p. 1.</w:t>
      </w:r>
    </w:p>
  </w:footnote>
  <w:footnote w:id="256">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Daouda FALL et autres, « Les libertés dans les politiques publiques de sécurité : rôle de l’Avocat », </w:t>
      </w:r>
      <w:r w:rsidRPr="000D1BD6">
        <w:rPr>
          <w:rFonts w:ascii="Times New Roman" w:hAnsi="Times New Roman" w:cs="Times New Roman"/>
          <w:i/>
        </w:rPr>
        <w:t>op. cit</w:t>
      </w:r>
      <w:r w:rsidRPr="000D1BD6">
        <w:rPr>
          <w:rFonts w:ascii="Times New Roman" w:hAnsi="Times New Roman" w:cs="Times New Roman"/>
        </w:rPr>
        <w:t xml:space="preserve">., pp. 36-37 ; Voir aussi Guy ISAAC, </w:t>
      </w:r>
      <w:r w:rsidRPr="000D1BD6">
        <w:rPr>
          <w:rFonts w:ascii="Times New Roman" w:hAnsi="Times New Roman" w:cs="Times New Roman"/>
          <w:i/>
        </w:rPr>
        <w:t>Droit communautaire général,</w:t>
      </w:r>
      <w:r w:rsidRPr="000D1BD6">
        <w:rPr>
          <w:rFonts w:ascii="Times New Roman" w:hAnsi="Times New Roman" w:cs="Times New Roman"/>
        </w:rPr>
        <w:t xml:space="preserve"> 3</w:t>
      </w:r>
      <w:r w:rsidRPr="000D1BD6">
        <w:rPr>
          <w:rFonts w:ascii="Times New Roman" w:hAnsi="Times New Roman" w:cs="Times New Roman"/>
          <w:vertAlign w:val="superscript"/>
        </w:rPr>
        <w:t>ème</w:t>
      </w:r>
      <w:r w:rsidRPr="000D1BD6">
        <w:rPr>
          <w:rFonts w:ascii="Times New Roman" w:hAnsi="Times New Roman" w:cs="Times New Roman"/>
        </w:rPr>
        <w:t xml:space="preserve"> éd., </w:t>
      </w:r>
      <w:r w:rsidRPr="000D1BD6">
        <w:rPr>
          <w:rFonts w:ascii="Times New Roman" w:hAnsi="Times New Roman" w:cs="Times New Roman"/>
          <w:i/>
        </w:rPr>
        <w:t>op. cit</w:t>
      </w:r>
      <w:r w:rsidRPr="000D1BD6">
        <w:rPr>
          <w:rFonts w:ascii="Times New Roman" w:hAnsi="Times New Roman" w:cs="Times New Roman"/>
        </w:rPr>
        <w:t>., pp. 287-288.</w:t>
      </w:r>
    </w:p>
  </w:footnote>
  <w:footnote w:id="257">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Jean BOULOUIS, </w:t>
      </w:r>
      <w:r w:rsidRPr="000D1BD6">
        <w:rPr>
          <w:rFonts w:ascii="Times New Roman" w:hAnsi="Times New Roman" w:cs="Times New Roman"/>
          <w:i/>
        </w:rPr>
        <w:t>Droit institutionnel de l’Union Européenne</w:t>
      </w:r>
      <w:r w:rsidRPr="000D1BD6">
        <w:rPr>
          <w:rFonts w:ascii="Times New Roman" w:hAnsi="Times New Roman" w:cs="Times New Roman"/>
        </w:rPr>
        <w:t>, 5</w:t>
      </w:r>
      <w:r w:rsidRPr="000D1BD6">
        <w:rPr>
          <w:rFonts w:ascii="Times New Roman" w:hAnsi="Times New Roman" w:cs="Times New Roman"/>
          <w:vertAlign w:val="superscript"/>
        </w:rPr>
        <w:t>ème</w:t>
      </w:r>
      <w:r w:rsidRPr="000D1BD6">
        <w:rPr>
          <w:rFonts w:ascii="Times New Roman" w:hAnsi="Times New Roman" w:cs="Times New Roman"/>
        </w:rPr>
        <w:t xml:space="preserve"> éd., </w:t>
      </w:r>
      <w:r w:rsidRPr="000D1BD6">
        <w:rPr>
          <w:rFonts w:ascii="Times New Roman" w:hAnsi="Times New Roman" w:cs="Times New Roman"/>
          <w:i/>
        </w:rPr>
        <w:t>op. cit</w:t>
      </w:r>
      <w:r w:rsidRPr="000D1BD6">
        <w:rPr>
          <w:rFonts w:ascii="Times New Roman" w:hAnsi="Times New Roman" w:cs="Times New Roman"/>
        </w:rPr>
        <w:t>., p. 313, Para. 552.</w:t>
      </w:r>
    </w:p>
  </w:footnote>
  <w:footnote w:id="258">
    <w:p w:rsidR="00E52745" w:rsidRPr="000D1BD6" w:rsidRDefault="00E52745" w:rsidP="00776897">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16 mai 1968, </w:t>
      </w:r>
      <w:r w:rsidRPr="000D1BD6">
        <w:rPr>
          <w:rFonts w:ascii="Times New Roman" w:hAnsi="Times New Roman" w:cs="Times New Roman"/>
          <w:i/>
        </w:rPr>
        <w:t>Firma Becher</w:t>
      </w:r>
      <w:r w:rsidRPr="000D1BD6">
        <w:rPr>
          <w:rFonts w:ascii="Times New Roman" w:hAnsi="Times New Roman" w:cs="Times New Roman"/>
        </w:rPr>
        <w:t xml:space="preserve">, Aff. 13/67, R. 289, cité par Jean-Louis CLERGERIE, </w:t>
      </w:r>
      <w:r w:rsidRPr="000D1BD6">
        <w:rPr>
          <w:rFonts w:ascii="Times New Roman" w:hAnsi="Times New Roman" w:cs="Times New Roman"/>
          <w:i/>
        </w:rPr>
        <w:t>Lerenvoi préjudiciel</w:t>
      </w:r>
      <w:r w:rsidRPr="000D1BD6">
        <w:rPr>
          <w:rFonts w:ascii="Times New Roman" w:hAnsi="Times New Roman" w:cs="Times New Roman"/>
        </w:rPr>
        <w:t xml:space="preserve">, Ellipses, </w:t>
      </w:r>
      <w:r w:rsidRPr="000D1BD6">
        <w:rPr>
          <w:rFonts w:ascii="Times New Roman" w:hAnsi="Times New Roman" w:cs="Times New Roman"/>
          <w:i/>
        </w:rPr>
        <w:t>op. cit</w:t>
      </w:r>
      <w:r w:rsidRPr="000D1BD6">
        <w:rPr>
          <w:rFonts w:ascii="Times New Roman" w:hAnsi="Times New Roman" w:cs="Times New Roman"/>
        </w:rPr>
        <w:t xml:space="preserve">., p. 133. </w:t>
      </w:r>
    </w:p>
  </w:footnote>
  <w:footnote w:id="259">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C’est le cas où la Cour de Justice, en utilisant son pouvoir de reformulation, a ajouté des éléments nouveaux, non expressément prévus dans la décision de renvoi.</w:t>
      </w:r>
    </w:p>
  </w:footnote>
  <w:footnote w:id="260">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En droit européen, la C.J.C.E. a, dans son ord., rendue le 5 mars 1986, systématisé les différentes situations qui peuvent conduire la juridiction nationale à solliciter une nouvelle interprétation. Selon la Cour, </w:t>
      </w:r>
      <w:r w:rsidRPr="000D1BD6">
        <w:rPr>
          <w:rFonts w:ascii="Times New Roman" w:hAnsi="Times New Roman" w:cs="Times New Roman"/>
          <w:i/>
        </w:rPr>
        <w:t>« l’autorité dont est revêtu un arrêt rendu en matière préjudicielle ne fait pas obstacle à ce que le juge national, destinataire de cet arrêt puisse estimer nécessaire de saisir à nouveau la Cour avant de trancher le litige au principal. Un tel recours peut être justifié lorsque le juge national se heurte à des difficultés de compréhension ou d’application de l’arrêt, lorsqu’il se pose à la Cour une nouvelle question de droit, ou encore lorsqu’il lui soumet de nouveaux éléments d’appréciation susceptibles de conduire la Cour à répondre différemment à une question déjà posée</w:t>
      </w:r>
      <w:r w:rsidRPr="000D1BD6">
        <w:rPr>
          <w:rFonts w:ascii="Times New Roman" w:hAnsi="Times New Roman" w:cs="Times New Roman"/>
        </w:rPr>
        <w:t xml:space="preserve"> », cité par Daouda FALL et autres, </w:t>
      </w:r>
      <w:r w:rsidRPr="000D1BD6">
        <w:rPr>
          <w:rFonts w:ascii="Times New Roman" w:hAnsi="Times New Roman" w:cs="Times New Roman"/>
          <w:i/>
        </w:rPr>
        <w:t>op. cit</w:t>
      </w:r>
      <w:r w:rsidRPr="000D1BD6">
        <w:rPr>
          <w:rFonts w:ascii="Times New Roman" w:hAnsi="Times New Roman" w:cs="Times New Roman"/>
        </w:rPr>
        <w:t xml:space="preserve">., p. 36, note n°4. </w:t>
      </w:r>
    </w:p>
  </w:footnote>
  <w:footnote w:id="261">
    <w:p w:rsidR="00E52745" w:rsidRPr="000D1BD6" w:rsidRDefault="00E52745" w:rsidP="00B72008">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28 mars 1979, </w:t>
      </w:r>
      <w:r w:rsidRPr="000D1BD6">
        <w:rPr>
          <w:rFonts w:ascii="Times New Roman" w:hAnsi="Times New Roman" w:cs="Times New Roman"/>
          <w:i/>
        </w:rPr>
        <w:t>ICAP c/ Beneventi</w:t>
      </w:r>
      <w:r w:rsidRPr="000D1BD6">
        <w:rPr>
          <w:rFonts w:ascii="Times New Roman" w:hAnsi="Times New Roman" w:cs="Times New Roman"/>
        </w:rPr>
        <w:t xml:space="preserve">, Aff. 222/78, R. 1163, cité par Jean-Louis CLERGERIE, </w:t>
      </w:r>
      <w:r w:rsidRPr="000D1BD6">
        <w:rPr>
          <w:rFonts w:ascii="Times New Roman" w:hAnsi="Times New Roman" w:cs="Times New Roman"/>
          <w:i/>
        </w:rPr>
        <w:t>op.cit</w:t>
      </w:r>
      <w:r w:rsidRPr="000D1BD6">
        <w:rPr>
          <w:rFonts w:ascii="Times New Roman" w:hAnsi="Times New Roman" w:cs="Times New Roman"/>
        </w:rPr>
        <w:t>., p. 133.</w:t>
      </w:r>
    </w:p>
  </w:footnote>
  <w:footnote w:id="262">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Jean BOULOUIS, </w:t>
      </w:r>
      <w:r w:rsidRPr="000D1BD6">
        <w:rPr>
          <w:rFonts w:ascii="Times New Roman" w:hAnsi="Times New Roman" w:cs="Times New Roman"/>
          <w:i/>
        </w:rPr>
        <w:t>Droit institutionnel de l’Union Européenne</w:t>
      </w:r>
      <w:r w:rsidRPr="000D1BD6">
        <w:rPr>
          <w:rFonts w:ascii="Times New Roman" w:hAnsi="Times New Roman" w:cs="Times New Roman"/>
        </w:rPr>
        <w:t>, 5</w:t>
      </w:r>
      <w:r w:rsidRPr="000D1BD6">
        <w:rPr>
          <w:rFonts w:ascii="Times New Roman" w:hAnsi="Times New Roman" w:cs="Times New Roman"/>
          <w:vertAlign w:val="superscript"/>
        </w:rPr>
        <w:t>ème</w:t>
      </w:r>
      <w:r w:rsidRPr="000D1BD6">
        <w:rPr>
          <w:rFonts w:ascii="Times New Roman" w:hAnsi="Times New Roman" w:cs="Times New Roman"/>
        </w:rPr>
        <w:t xml:space="preserve"> éd., </w:t>
      </w:r>
      <w:r w:rsidRPr="000D1BD6">
        <w:rPr>
          <w:rFonts w:ascii="Times New Roman" w:hAnsi="Times New Roman" w:cs="Times New Roman"/>
          <w:i/>
        </w:rPr>
        <w:t>op. cit</w:t>
      </w:r>
      <w:r w:rsidRPr="000D1BD6">
        <w:rPr>
          <w:rFonts w:ascii="Times New Roman" w:hAnsi="Times New Roman" w:cs="Times New Roman"/>
        </w:rPr>
        <w:t xml:space="preserve">., p. 314, para. 553 ; Voir aussi Naiké LEPOUTRE, « Le renvoi préjudiciel et l’instauration d’un  dialogue des juges : le cas de la Cour de Justice de l’Union européenne et du juge administratif français », </w:t>
      </w:r>
      <w:r w:rsidRPr="000D1BD6">
        <w:rPr>
          <w:rFonts w:ascii="Times New Roman" w:hAnsi="Times New Roman" w:cs="Times New Roman"/>
          <w:i/>
        </w:rPr>
        <w:t>op. cit</w:t>
      </w:r>
      <w:r w:rsidRPr="000D1BD6">
        <w:rPr>
          <w:rFonts w:ascii="Times New Roman" w:hAnsi="Times New Roman" w:cs="Times New Roman"/>
        </w:rPr>
        <w:t>., p. 57.</w:t>
      </w:r>
    </w:p>
  </w:footnote>
  <w:footnote w:id="263">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Naiké LEPOUTRE, </w:t>
      </w:r>
      <w:r w:rsidRPr="000D1BD6">
        <w:rPr>
          <w:rFonts w:ascii="Times New Roman" w:hAnsi="Times New Roman" w:cs="Times New Roman"/>
          <w:i/>
        </w:rPr>
        <w:t>op. cit</w:t>
      </w:r>
      <w:r w:rsidRPr="000D1BD6">
        <w:rPr>
          <w:rFonts w:ascii="Times New Roman" w:hAnsi="Times New Roman" w:cs="Times New Roman"/>
        </w:rPr>
        <w:t>., p. 57.</w:t>
      </w:r>
    </w:p>
  </w:footnote>
  <w:footnote w:id="264">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Une partie de la doctrine  reconnait aux arrêts infirmatifs de validité un caractère absolu ; tandis qu’une autre reconnait une autorité relative aux arrêts qui confirment la validité de l’acte en cause. Pour plus d’éclaircissement, consultez Jean-Louis CLERGERIE, </w:t>
      </w:r>
      <w:r w:rsidRPr="000D1BD6">
        <w:rPr>
          <w:rFonts w:ascii="Times New Roman" w:hAnsi="Times New Roman" w:cs="Times New Roman"/>
          <w:i/>
        </w:rPr>
        <w:t>Le renvoi préjudiciel</w:t>
      </w:r>
      <w:r w:rsidRPr="000D1BD6">
        <w:rPr>
          <w:rFonts w:ascii="Times New Roman" w:hAnsi="Times New Roman" w:cs="Times New Roman"/>
        </w:rPr>
        <w:t xml:space="preserve">, </w:t>
      </w:r>
      <w:r w:rsidRPr="000D1BD6">
        <w:rPr>
          <w:rFonts w:ascii="Times New Roman" w:hAnsi="Times New Roman" w:cs="Times New Roman"/>
          <w:i/>
        </w:rPr>
        <w:t>op. cit.</w:t>
      </w:r>
      <w:r w:rsidRPr="000D1BD6">
        <w:rPr>
          <w:rFonts w:ascii="Times New Roman" w:hAnsi="Times New Roman" w:cs="Times New Roman"/>
        </w:rPr>
        <w:t>, pp. 123-130.</w:t>
      </w:r>
    </w:p>
  </w:footnote>
  <w:footnote w:id="265">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13 mai 1981, </w:t>
      </w:r>
      <w:r w:rsidRPr="000D1BD6">
        <w:rPr>
          <w:rFonts w:ascii="Times New Roman" w:hAnsi="Times New Roman" w:cs="Times New Roman"/>
          <w:i/>
        </w:rPr>
        <w:t>International Chemical Company</w:t>
      </w:r>
      <w:r w:rsidRPr="000D1BD6">
        <w:rPr>
          <w:rFonts w:ascii="Times New Roman" w:hAnsi="Times New Roman" w:cs="Times New Roman"/>
        </w:rPr>
        <w:t xml:space="preserve">, Aff. 66/80, cité par Jean BOULOUIS, </w:t>
      </w:r>
      <w:r w:rsidRPr="000D1BD6">
        <w:rPr>
          <w:rFonts w:ascii="Times New Roman" w:hAnsi="Times New Roman" w:cs="Times New Roman"/>
          <w:i/>
        </w:rPr>
        <w:t>Droitinstitutionnel de l’Union Européenne</w:t>
      </w:r>
      <w:r w:rsidRPr="000D1BD6">
        <w:rPr>
          <w:rFonts w:ascii="Times New Roman" w:hAnsi="Times New Roman" w:cs="Times New Roman"/>
        </w:rPr>
        <w:t>, 5</w:t>
      </w:r>
      <w:r w:rsidRPr="000D1BD6">
        <w:rPr>
          <w:rFonts w:ascii="Times New Roman" w:hAnsi="Times New Roman" w:cs="Times New Roman"/>
          <w:vertAlign w:val="superscript"/>
        </w:rPr>
        <w:t>ème</w:t>
      </w:r>
      <w:r w:rsidRPr="000D1BD6">
        <w:rPr>
          <w:rFonts w:ascii="Times New Roman" w:hAnsi="Times New Roman" w:cs="Times New Roman"/>
        </w:rPr>
        <w:t xml:space="preserve"> éd., </w:t>
      </w:r>
      <w:r w:rsidRPr="000D1BD6">
        <w:rPr>
          <w:rFonts w:ascii="Times New Roman" w:hAnsi="Times New Roman" w:cs="Times New Roman"/>
          <w:i/>
        </w:rPr>
        <w:t>op. cit</w:t>
      </w:r>
      <w:r w:rsidRPr="000D1BD6">
        <w:rPr>
          <w:rFonts w:ascii="Times New Roman" w:hAnsi="Times New Roman" w:cs="Times New Roman"/>
        </w:rPr>
        <w:t xml:space="preserve">., p. 315, Para. 556 ; et Naiké LEPOUTRE, « Le renvoi préjudiciel et l’instauration d’un dialogue des juges : le cas de la Cour de Justice de l’Union Européenne et du juge administratif français », </w:t>
      </w:r>
      <w:r w:rsidRPr="000D1BD6">
        <w:rPr>
          <w:rFonts w:ascii="Times New Roman" w:hAnsi="Times New Roman" w:cs="Times New Roman"/>
          <w:i/>
        </w:rPr>
        <w:t>op. cit</w:t>
      </w:r>
      <w:r w:rsidRPr="000D1BD6">
        <w:rPr>
          <w:rFonts w:ascii="Times New Roman" w:hAnsi="Times New Roman" w:cs="Times New Roman"/>
        </w:rPr>
        <w:t>., p. 56.</w:t>
      </w:r>
    </w:p>
  </w:footnote>
  <w:footnote w:id="266">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S’il s’agit d’un arrêt qui confirme la validité de l’acte en cause, le juge national peut appliquer la règle au cas d’espèce ; le cas contraire, le juge est tenu de s’en écarter.</w:t>
      </w:r>
    </w:p>
  </w:footnote>
  <w:footnote w:id="267">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En droit européen, la C.J.C.E., dans son arrêt </w:t>
      </w:r>
      <w:r w:rsidRPr="000D1BD6">
        <w:rPr>
          <w:rFonts w:ascii="Times New Roman" w:hAnsi="Times New Roman" w:cs="Times New Roman"/>
          <w:i/>
        </w:rPr>
        <w:t>Roquette</w:t>
      </w:r>
      <w:r w:rsidRPr="000D1BD6">
        <w:rPr>
          <w:rFonts w:ascii="Times New Roman" w:hAnsi="Times New Roman" w:cs="Times New Roman"/>
        </w:rPr>
        <w:t xml:space="preserve"> (15 octobre 1980, Aff. 145/79) a jugé invalide le règlement qui lui était soumis par la juridiction nationale.  Afin de garantir la sécurité juridique, la Cour a aussi jugé que cette invalidité n’a pas d’effet rétroactif. Le tribunal d’instance de Lille dans sa décision du 15 juillet 1981 a refusé de suivre la CJCE en expliquant que « </w:t>
      </w:r>
      <w:r w:rsidRPr="000D1BD6">
        <w:rPr>
          <w:rFonts w:ascii="Times New Roman" w:hAnsi="Times New Roman" w:cs="Times New Roman"/>
          <w:i/>
        </w:rPr>
        <w:t>c’est sans fondement légal qu’après avoir interprété le droit communautaire afin de répondre aux questions préjudicielles, la Cour, qui avait épuisée sa compétence, a pris l’initiative d’ajouter à la consultation ainsi délivrée une observation basée sur un texte inapplicable à la situation considérée. Loin d’apparaitre comme une précision supplémentaire utile à son œuvre d’interprétation, l’initiative de la Cour se présente comme la manifestation délibérée d’un choix faisant prévaloir le principe de la sécurité juridique sur celui de la légalité</w:t>
      </w:r>
      <w:r w:rsidRPr="000D1BD6">
        <w:rPr>
          <w:rFonts w:ascii="Times New Roman" w:hAnsi="Times New Roman" w:cs="Times New Roman"/>
        </w:rPr>
        <w:t xml:space="preserve"> », cité par Alain GROSJEAN, « La recevabilité du renvoi préjudiciel et reformulation par la Cour de Justice de l’Union Européenne », </w:t>
      </w:r>
      <w:r w:rsidRPr="000D1BD6">
        <w:rPr>
          <w:rFonts w:ascii="Times New Roman" w:hAnsi="Times New Roman" w:cs="Times New Roman"/>
          <w:i/>
        </w:rPr>
        <w:t>op. cit</w:t>
      </w:r>
      <w:r w:rsidRPr="000D1BD6">
        <w:rPr>
          <w:rFonts w:ascii="Times New Roman" w:hAnsi="Times New Roman" w:cs="Times New Roman"/>
        </w:rPr>
        <w:t>., p. 7.</w:t>
      </w:r>
    </w:p>
  </w:footnote>
  <w:footnote w:id="268">
    <w:p w:rsidR="00E52745" w:rsidRPr="000D1BD6" w:rsidRDefault="00E52745" w:rsidP="00355196">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w:t>
      </w:r>
      <w:r w:rsidRPr="000D1BD6">
        <w:rPr>
          <w:rFonts w:ascii="Times New Roman" w:hAnsi="Times New Roman" w:cs="Times New Roman"/>
          <w:i/>
        </w:rPr>
        <w:t>International Chemical Company</w:t>
      </w:r>
      <w:r w:rsidRPr="000D1BD6">
        <w:rPr>
          <w:rFonts w:ascii="Times New Roman" w:hAnsi="Times New Roman" w:cs="Times New Roman"/>
        </w:rPr>
        <w:t xml:space="preserve"> précité, point 14.</w:t>
      </w:r>
    </w:p>
  </w:footnote>
  <w:footnote w:id="269">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D. BLANCHET, « L’usage de la théorie de l’acte clair en droit communautaire : une hypothèse de mise en jeu de la responsabilité de l’Etat français du fait de la fonction juridictionnelle ? », </w:t>
      </w:r>
      <w:r w:rsidR="00B011FF" w:rsidRPr="00B011FF">
        <w:rPr>
          <w:rFonts w:ascii="Times New Roman" w:hAnsi="Times New Roman" w:cs="Times New Roman"/>
          <w:i/>
        </w:rPr>
        <w:t>in</w:t>
      </w:r>
      <w:r w:rsidRPr="000D1BD6">
        <w:rPr>
          <w:rFonts w:ascii="Times New Roman" w:hAnsi="Times New Roman" w:cs="Times New Roman"/>
          <w:i/>
        </w:rPr>
        <w:t>Revue trimestrielle de droiteuropéen</w:t>
      </w:r>
      <w:r w:rsidRPr="000D1BD6">
        <w:rPr>
          <w:rFonts w:ascii="Times New Roman" w:hAnsi="Times New Roman" w:cs="Times New Roman"/>
        </w:rPr>
        <w:t>, avril- juin 2001, n°37, p. 420.</w:t>
      </w:r>
    </w:p>
  </w:footnote>
  <w:footnote w:id="270">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Naiké LEPOUTRE, </w:t>
      </w:r>
      <w:r w:rsidRPr="000D1BD6">
        <w:rPr>
          <w:rFonts w:ascii="Times New Roman" w:hAnsi="Times New Roman" w:cs="Times New Roman"/>
          <w:i/>
        </w:rPr>
        <w:t>op. cit</w:t>
      </w:r>
      <w:r w:rsidRPr="000D1BD6">
        <w:rPr>
          <w:rFonts w:ascii="Times New Roman" w:hAnsi="Times New Roman" w:cs="Times New Roman"/>
        </w:rPr>
        <w:t>., p. 55.</w:t>
      </w:r>
    </w:p>
  </w:footnote>
  <w:footnote w:id="271">
    <w:p w:rsidR="00E52745" w:rsidRPr="000D1BD6" w:rsidRDefault="00E52745" w:rsidP="00250D88">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Cet article établit les règles communes en matière d’indemnisation et d’assistance des passagers en cas de refus d’embarquement et d’annulation ou de retard important d’un vol.</w:t>
      </w:r>
    </w:p>
  </w:footnote>
  <w:footnote w:id="272">
    <w:p w:rsidR="00E52745" w:rsidRPr="000D1BD6" w:rsidRDefault="00E52745" w:rsidP="00117D11">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M. Kramme avait accepté une offre d’indemnisation de la part de la compagnie aérienne et retiré sa plainte.</w:t>
      </w:r>
    </w:p>
  </w:footnote>
  <w:footnote w:id="273">
    <w:p w:rsidR="00E52745" w:rsidRPr="000D1BD6" w:rsidRDefault="00E52745" w:rsidP="002D6140">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Art. 12 du Protocole additionnel n°1 sur les organes de contrôle de l’UEMOA ; et art. 267 du TFUE.</w:t>
      </w:r>
    </w:p>
  </w:footnote>
  <w:footnote w:id="274">
    <w:p w:rsidR="00E52745" w:rsidRPr="000D1BD6" w:rsidRDefault="00E52745" w:rsidP="00E90E41">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Jean BOULOUIS et autres, </w:t>
      </w:r>
      <w:r w:rsidRPr="000D1BD6">
        <w:rPr>
          <w:rFonts w:ascii="Times New Roman" w:hAnsi="Times New Roman" w:cs="Times New Roman"/>
          <w:i/>
        </w:rPr>
        <w:t>Contentieux communautaire</w:t>
      </w:r>
      <w:r w:rsidRPr="000D1BD6">
        <w:rPr>
          <w:rFonts w:ascii="Times New Roman" w:hAnsi="Times New Roman" w:cs="Times New Roman"/>
        </w:rPr>
        <w:t xml:space="preserve">, </w:t>
      </w:r>
      <w:r w:rsidRPr="000D1BD6">
        <w:rPr>
          <w:rFonts w:ascii="Times New Roman" w:hAnsi="Times New Roman" w:cs="Times New Roman"/>
          <w:i/>
        </w:rPr>
        <w:t>op. cit.</w:t>
      </w:r>
      <w:r w:rsidRPr="000D1BD6">
        <w:rPr>
          <w:rFonts w:ascii="Times New Roman" w:hAnsi="Times New Roman" w:cs="Times New Roman"/>
        </w:rPr>
        <w:t>, p. 19 et 24.</w:t>
      </w:r>
    </w:p>
  </w:footnote>
  <w:footnote w:id="275">
    <w:p w:rsidR="00E52745" w:rsidRPr="000D1BD6" w:rsidRDefault="00E52745" w:rsidP="00DB6678">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Jiri MALENOVSKY, </w:t>
      </w:r>
      <w:r w:rsidRPr="000D1BD6">
        <w:rPr>
          <w:rFonts w:ascii="Times New Roman" w:hAnsi="Times New Roman" w:cs="Times New Roman"/>
          <w:i/>
        </w:rPr>
        <w:t>Comment traiter le retrait tardif d’une demande de décision préjudicielle</w:t>
      </w:r>
      <w:r w:rsidRPr="000D1BD6">
        <w:rPr>
          <w:rFonts w:ascii="Times New Roman" w:hAnsi="Times New Roman" w:cs="Times New Roman"/>
        </w:rPr>
        <w:t xml:space="preserve">, </w:t>
      </w:r>
      <w:r w:rsidRPr="000D1BD6">
        <w:rPr>
          <w:rFonts w:ascii="Times New Roman" w:hAnsi="Times New Roman" w:cs="Times New Roman"/>
          <w:i/>
        </w:rPr>
        <w:t>op. cit</w:t>
      </w:r>
      <w:r w:rsidRPr="000D1BD6">
        <w:rPr>
          <w:rFonts w:ascii="Times New Roman" w:hAnsi="Times New Roman" w:cs="Times New Roman"/>
        </w:rPr>
        <w:t>., p. 10.</w:t>
      </w:r>
    </w:p>
  </w:footnote>
  <w:footnote w:id="276">
    <w:p w:rsidR="00E52745" w:rsidRPr="000D1BD6" w:rsidRDefault="00E52745" w:rsidP="005F22F6">
      <w:pPr>
        <w:pStyle w:val="Notedebasdepage"/>
        <w:jc w:val="both"/>
        <w:rPr>
          <w:rFonts w:ascii="Times New Roman" w:hAnsi="Times New Roman" w:cs="Times New Roman"/>
          <w:i/>
        </w:rPr>
      </w:pPr>
      <w:r w:rsidRPr="000D1BD6">
        <w:rPr>
          <w:rStyle w:val="Appelnotedebasdep"/>
          <w:rFonts w:ascii="Times New Roman" w:hAnsi="Times New Roman" w:cs="Times New Roman"/>
          <w:i/>
        </w:rPr>
        <w:footnoteRef/>
      </w:r>
      <w:r w:rsidRPr="000D1BD6">
        <w:rPr>
          <w:rFonts w:ascii="Times New Roman" w:hAnsi="Times New Roman" w:cs="Times New Roman"/>
          <w:i/>
        </w:rPr>
        <w:t xml:space="preserve"> Ibid.</w:t>
      </w:r>
    </w:p>
  </w:footnote>
  <w:footnote w:id="277">
    <w:p w:rsidR="00E52745" w:rsidRPr="000D1BD6" w:rsidRDefault="00E52745" w:rsidP="00987AAA">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Au niveau national le problème ne se pose pas. La procédure est déjà close compte tenu du fait que les parties en litige arrivent à s’entendre.</w:t>
      </w:r>
    </w:p>
  </w:footnote>
  <w:footnote w:id="278">
    <w:p w:rsidR="00E52745" w:rsidRPr="000D1BD6" w:rsidRDefault="00E52745" w:rsidP="001C1BFF">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Jiri MALENOVSKY, </w:t>
      </w:r>
      <w:r w:rsidRPr="000D1BD6">
        <w:rPr>
          <w:rFonts w:ascii="Times New Roman" w:hAnsi="Times New Roman" w:cs="Times New Roman"/>
          <w:i/>
        </w:rPr>
        <w:t>op. cit</w:t>
      </w:r>
      <w:r w:rsidRPr="000D1BD6">
        <w:rPr>
          <w:rFonts w:ascii="Times New Roman" w:hAnsi="Times New Roman" w:cs="Times New Roman"/>
        </w:rPr>
        <w:t>., p. 10.</w:t>
      </w:r>
    </w:p>
  </w:footnote>
  <w:footnote w:id="279">
    <w:p w:rsidR="00E52745" w:rsidRPr="000D1BD6" w:rsidRDefault="00E52745" w:rsidP="00402171">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i/>
        </w:rPr>
        <w:t>Ibid.</w:t>
      </w:r>
      <w:r w:rsidRPr="000D1BD6">
        <w:rPr>
          <w:rFonts w:ascii="Times New Roman" w:hAnsi="Times New Roman" w:cs="Times New Roman"/>
        </w:rPr>
        <w:t>, p. 11.</w:t>
      </w:r>
    </w:p>
  </w:footnote>
  <w:footnote w:id="280">
    <w:p w:rsidR="00E52745" w:rsidRPr="000D1BD6" w:rsidRDefault="00E52745" w:rsidP="0076731F">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i/>
        </w:rPr>
        <w:t>Ibid.</w:t>
      </w:r>
    </w:p>
  </w:footnote>
  <w:footnote w:id="281">
    <w:p w:rsidR="00E52745" w:rsidRPr="000D1BD6" w:rsidRDefault="00E52745" w:rsidP="00764767">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i/>
        </w:rPr>
        <w:t>Ibid.</w:t>
      </w:r>
    </w:p>
  </w:footnote>
  <w:footnote w:id="282">
    <w:p w:rsidR="00E52745" w:rsidRPr="000D1BD6" w:rsidRDefault="00E52745" w:rsidP="00381B15">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i/>
        </w:rPr>
        <w:t>Ibid.</w:t>
      </w:r>
    </w:p>
  </w:footnote>
  <w:footnote w:id="283">
    <w:p w:rsidR="00E52745" w:rsidRPr="000D1BD6" w:rsidRDefault="00E52745" w:rsidP="008A1247">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Il vise d’une part à assurer l’interprétation et l’application uniformes du droit de la communauté, et, d’autre part, l’intérêt à une protection effective des droits que le droit de la communauté confère aux particuliers.</w:t>
      </w:r>
    </w:p>
  </w:footnote>
  <w:footnote w:id="284">
    <w:p w:rsidR="00E52745" w:rsidRPr="000D1BD6" w:rsidRDefault="00E52745" w:rsidP="003C033C">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Invoquant le risque d’une atteinte aux prérogatives des juridictions nationales et s’interrogeant sur l’utilité d’une réponse apportée par la Cour de justice, étant donné que l’affaire en cause n’existe plus.</w:t>
      </w:r>
    </w:p>
  </w:footnote>
  <w:footnote w:id="285">
    <w:p w:rsidR="00E52745" w:rsidRPr="000D1BD6" w:rsidRDefault="00E52745" w:rsidP="00CA2B47">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Jiri MALENOVSKY, </w:t>
      </w:r>
      <w:r w:rsidRPr="000D1BD6">
        <w:rPr>
          <w:rFonts w:ascii="Times New Roman" w:hAnsi="Times New Roman" w:cs="Times New Roman"/>
          <w:i/>
        </w:rPr>
        <w:t>op. cit</w:t>
      </w:r>
      <w:r w:rsidRPr="000D1BD6">
        <w:rPr>
          <w:rFonts w:ascii="Times New Roman" w:hAnsi="Times New Roman" w:cs="Times New Roman"/>
        </w:rPr>
        <w:t>., p. 12.</w:t>
      </w:r>
    </w:p>
  </w:footnote>
  <w:footnote w:id="286">
    <w:p w:rsidR="00E52745" w:rsidRPr="000D1BD6" w:rsidRDefault="00E52745" w:rsidP="00234F42">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Ce règlement est entré en vigueur le 1</w:t>
      </w:r>
      <w:r w:rsidRPr="000D1BD6">
        <w:rPr>
          <w:rFonts w:ascii="Times New Roman" w:hAnsi="Times New Roman" w:cs="Times New Roman"/>
          <w:vertAlign w:val="superscript"/>
        </w:rPr>
        <w:t>er</w:t>
      </w:r>
      <w:r w:rsidRPr="000D1BD6">
        <w:rPr>
          <w:rFonts w:ascii="Times New Roman" w:hAnsi="Times New Roman" w:cs="Times New Roman"/>
        </w:rPr>
        <w:t xml:space="preserve"> Novembre 2012.</w:t>
      </w:r>
    </w:p>
  </w:footnote>
  <w:footnote w:id="287">
    <w:p w:rsidR="00E52745" w:rsidRPr="000D1BD6" w:rsidRDefault="00E52745" w:rsidP="002754E5">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Art. 100 (1) du nouveau règlement de procédure de la Cour de justice de l’Union européenne du 1</w:t>
      </w:r>
      <w:r w:rsidRPr="000D1BD6">
        <w:rPr>
          <w:rFonts w:ascii="Times New Roman" w:hAnsi="Times New Roman" w:cs="Times New Roman"/>
          <w:vertAlign w:val="superscript"/>
        </w:rPr>
        <w:t>er</w:t>
      </w:r>
      <w:r w:rsidRPr="000D1BD6">
        <w:rPr>
          <w:rFonts w:ascii="Times New Roman" w:hAnsi="Times New Roman" w:cs="Times New Roman"/>
        </w:rPr>
        <w:t xml:space="preserve"> Novembre 2012.</w:t>
      </w:r>
    </w:p>
  </w:footnote>
  <w:footnote w:id="288">
    <w:p w:rsidR="00E52745" w:rsidRPr="000D1BD6" w:rsidRDefault="00E52745" w:rsidP="000A50C6">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L’arrêt en question ne sera plus utile à la juridiction de renvoi.</w:t>
      </w:r>
    </w:p>
  </w:footnote>
  <w:footnote w:id="289">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Jean-Louis CLERGERIE, </w:t>
      </w:r>
      <w:r w:rsidRPr="000D1BD6">
        <w:rPr>
          <w:rFonts w:ascii="Times New Roman" w:hAnsi="Times New Roman" w:cs="Times New Roman"/>
          <w:i/>
        </w:rPr>
        <w:t>Le renvoi préjudiciel</w:t>
      </w:r>
      <w:r w:rsidRPr="000D1BD6">
        <w:rPr>
          <w:rFonts w:ascii="Times New Roman" w:hAnsi="Times New Roman" w:cs="Times New Roman"/>
        </w:rPr>
        <w:t xml:space="preserve">, Ellipses, </w:t>
      </w:r>
      <w:r w:rsidRPr="000D1BD6">
        <w:rPr>
          <w:rFonts w:ascii="Times New Roman" w:hAnsi="Times New Roman" w:cs="Times New Roman"/>
          <w:i/>
        </w:rPr>
        <w:t>op. cit</w:t>
      </w:r>
      <w:r w:rsidRPr="000D1BD6">
        <w:rPr>
          <w:rFonts w:ascii="Times New Roman" w:hAnsi="Times New Roman" w:cs="Times New Roman"/>
        </w:rPr>
        <w:t>., p. 98.</w:t>
      </w:r>
    </w:p>
  </w:footnote>
  <w:footnote w:id="290">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Jean BOULOUIS, </w:t>
      </w:r>
      <w:r w:rsidRPr="000D1BD6">
        <w:rPr>
          <w:rFonts w:ascii="Times New Roman" w:hAnsi="Times New Roman" w:cs="Times New Roman"/>
          <w:i/>
        </w:rPr>
        <w:t>Droit institutionnel de l’Union européenne</w:t>
      </w:r>
      <w:r w:rsidRPr="000D1BD6">
        <w:rPr>
          <w:rFonts w:ascii="Times New Roman" w:hAnsi="Times New Roman" w:cs="Times New Roman"/>
        </w:rPr>
        <w:t>, 5</w:t>
      </w:r>
      <w:r w:rsidRPr="000D1BD6">
        <w:rPr>
          <w:rFonts w:ascii="Times New Roman" w:hAnsi="Times New Roman" w:cs="Times New Roman"/>
          <w:vertAlign w:val="superscript"/>
        </w:rPr>
        <w:t>ème</w:t>
      </w:r>
      <w:r w:rsidRPr="000D1BD6">
        <w:rPr>
          <w:rFonts w:ascii="Times New Roman" w:hAnsi="Times New Roman" w:cs="Times New Roman"/>
        </w:rPr>
        <w:t xml:space="preserve"> éd., </w:t>
      </w:r>
      <w:r w:rsidRPr="000D1BD6">
        <w:rPr>
          <w:rFonts w:ascii="Times New Roman" w:hAnsi="Times New Roman" w:cs="Times New Roman"/>
          <w:i/>
        </w:rPr>
        <w:t>op. cit.</w:t>
      </w:r>
      <w:r w:rsidRPr="000D1BD6">
        <w:rPr>
          <w:rFonts w:ascii="Times New Roman" w:hAnsi="Times New Roman" w:cs="Times New Roman"/>
        </w:rPr>
        <w:t xml:space="preserve">, p. 298 ; voir aussi C.J.C.E., Arrêt du 10 mars 1981, </w:t>
      </w:r>
      <w:r w:rsidRPr="000D1BD6">
        <w:rPr>
          <w:rFonts w:ascii="Times New Roman" w:hAnsi="Times New Roman" w:cs="Times New Roman"/>
          <w:i/>
        </w:rPr>
        <w:t>Irish Creamery</w:t>
      </w:r>
      <w:r w:rsidRPr="000D1BD6">
        <w:rPr>
          <w:rFonts w:ascii="Times New Roman" w:hAnsi="Times New Roman" w:cs="Times New Roman"/>
        </w:rPr>
        <w:t xml:space="preserve">, Aff. 36/80, R. 735, concl. J. P. Warner, cité par Jean-Louis CLERGERIE, </w:t>
      </w:r>
      <w:r w:rsidRPr="000D1BD6">
        <w:rPr>
          <w:rFonts w:ascii="Times New Roman" w:hAnsi="Times New Roman" w:cs="Times New Roman"/>
          <w:i/>
        </w:rPr>
        <w:t>Le renvoi préjudiciel</w:t>
      </w:r>
      <w:r w:rsidRPr="000D1BD6">
        <w:rPr>
          <w:rFonts w:ascii="Times New Roman" w:hAnsi="Times New Roman" w:cs="Times New Roman"/>
        </w:rPr>
        <w:t xml:space="preserve">, Ellipses, </w:t>
      </w:r>
      <w:r w:rsidRPr="000D1BD6">
        <w:rPr>
          <w:rFonts w:ascii="Times New Roman" w:hAnsi="Times New Roman" w:cs="Times New Roman"/>
          <w:i/>
        </w:rPr>
        <w:t>op. cit</w:t>
      </w:r>
      <w:r w:rsidRPr="000D1BD6">
        <w:rPr>
          <w:rFonts w:ascii="Times New Roman" w:hAnsi="Times New Roman" w:cs="Times New Roman"/>
        </w:rPr>
        <w:t>., p. 96.</w:t>
      </w:r>
    </w:p>
  </w:footnote>
  <w:footnote w:id="291">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5 février 1963, </w:t>
      </w:r>
      <w:r w:rsidRPr="000D1BD6">
        <w:rPr>
          <w:rFonts w:ascii="Times New Roman" w:hAnsi="Times New Roman" w:cs="Times New Roman"/>
          <w:i/>
        </w:rPr>
        <w:t>Vand Gend en Loos</w:t>
      </w:r>
      <w:r w:rsidRPr="000D1BD6">
        <w:rPr>
          <w:rFonts w:ascii="Times New Roman" w:hAnsi="Times New Roman" w:cs="Times New Roman"/>
        </w:rPr>
        <w:t xml:space="preserve">, Aff. 26/62, cité par Jean BOULOUIS, </w:t>
      </w:r>
      <w:r w:rsidRPr="000D1BD6">
        <w:rPr>
          <w:rFonts w:ascii="Times New Roman" w:hAnsi="Times New Roman" w:cs="Times New Roman"/>
          <w:i/>
        </w:rPr>
        <w:t>Droit institutionnel de l’Union européenne</w:t>
      </w:r>
      <w:r w:rsidRPr="000D1BD6">
        <w:rPr>
          <w:rFonts w:ascii="Times New Roman" w:hAnsi="Times New Roman" w:cs="Times New Roman"/>
        </w:rPr>
        <w:t>, 5</w:t>
      </w:r>
      <w:r w:rsidRPr="000D1BD6">
        <w:rPr>
          <w:rFonts w:ascii="Times New Roman" w:hAnsi="Times New Roman" w:cs="Times New Roman"/>
          <w:vertAlign w:val="superscript"/>
        </w:rPr>
        <w:t>ème</w:t>
      </w:r>
      <w:r w:rsidRPr="000D1BD6">
        <w:rPr>
          <w:rFonts w:ascii="Times New Roman" w:hAnsi="Times New Roman" w:cs="Times New Roman"/>
        </w:rPr>
        <w:t xml:space="preserve"> éd., </w:t>
      </w:r>
      <w:r w:rsidRPr="000D1BD6">
        <w:rPr>
          <w:rFonts w:ascii="Times New Roman" w:hAnsi="Times New Roman" w:cs="Times New Roman"/>
          <w:i/>
        </w:rPr>
        <w:t>op. cit</w:t>
      </w:r>
      <w:r w:rsidRPr="000D1BD6">
        <w:rPr>
          <w:rFonts w:ascii="Times New Roman" w:hAnsi="Times New Roman" w:cs="Times New Roman"/>
        </w:rPr>
        <w:t>., p. 302.</w:t>
      </w:r>
    </w:p>
  </w:footnote>
  <w:footnote w:id="292">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Guy ISAAC, </w:t>
      </w:r>
      <w:r w:rsidRPr="000D1BD6">
        <w:rPr>
          <w:rFonts w:ascii="Times New Roman" w:hAnsi="Times New Roman" w:cs="Times New Roman"/>
          <w:i/>
        </w:rPr>
        <w:t>Droit Communautaire général</w:t>
      </w:r>
      <w:r w:rsidRPr="000D1BD6">
        <w:rPr>
          <w:rFonts w:ascii="Times New Roman" w:hAnsi="Times New Roman" w:cs="Times New Roman"/>
        </w:rPr>
        <w:t>, 3</w:t>
      </w:r>
      <w:r w:rsidRPr="000D1BD6">
        <w:rPr>
          <w:rFonts w:ascii="Times New Roman" w:hAnsi="Times New Roman" w:cs="Times New Roman"/>
          <w:vertAlign w:val="superscript"/>
        </w:rPr>
        <w:t>ème</w:t>
      </w:r>
      <w:r w:rsidRPr="000D1BD6">
        <w:rPr>
          <w:rFonts w:ascii="Times New Roman" w:hAnsi="Times New Roman" w:cs="Times New Roman"/>
        </w:rPr>
        <w:t xml:space="preserve"> éd., </w:t>
      </w:r>
      <w:r w:rsidRPr="000D1BD6">
        <w:rPr>
          <w:rFonts w:ascii="Times New Roman" w:hAnsi="Times New Roman" w:cs="Times New Roman"/>
          <w:i/>
        </w:rPr>
        <w:t>op. cit</w:t>
      </w:r>
      <w:r w:rsidRPr="000D1BD6">
        <w:rPr>
          <w:rFonts w:ascii="Times New Roman" w:hAnsi="Times New Roman" w:cs="Times New Roman"/>
        </w:rPr>
        <w:t>., p. 298.</w:t>
      </w:r>
    </w:p>
  </w:footnote>
  <w:footnote w:id="293">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En l’espèce la CJCE était saisie par une juridiction nationale sur la question de la validité du règlement n°804/68 modifiant le régime des achats à l’intervention pour le beurre et le lait écrémé en poudre. La juridiction allemande base sa demande sur le fait que selon elle les dispositions de ce règlement seraient source d’une discrimination entre les producteurs. La Cour après analyse du règlement, de son annexe et de sa finalité conclut que la lecture de la juridiction nationale est erronée et qu’en ce sens le règlement n’est pas discriminant. La Cour s’est donc contentée d’interpréter le règlement et non de juger de sa validité. Pour plus de précision sur ce point, voir Alain GROJEAN, « La recevabilité du renvoi préjudiciel et reformulation par la Cour de Justice de l’Union européenne », </w:t>
      </w:r>
      <w:r w:rsidRPr="000D1BD6">
        <w:rPr>
          <w:rFonts w:ascii="Times New Roman" w:hAnsi="Times New Roman" w:cs="Times New Roman"/>
          <w:i/>
        </w:rPr>
        <w:t>op. cit</w:t>
      </w:r>
      <w:r w:rsidRPr="000D1BD6">
        <w:rPr>
          <w:rFonts w:ascii="Times New Roman" w:hAnsi="Times New Roman" w:cs="Times New Roman"/>
        </w:rPr>
        <w:t>., p. 5.</w:t>
      </w:r>
    </w:p>
  </w:footnote>
  <w:footnote w:id="294">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C.J.U.E., Arrêt du 17 Juillet 1997, </w:t>
      </w:r>
      <w:r w:rsidRPr="000D1BD6">
        <w:rPr>
          <w:rFonts w:ascii="Times New Roman" w:hAnsi="Times New Roman" w:cs="Times New Roman"/>
          <w:i/>
        </w:rPr>
        <w:t>Kruger c/Hauptzollamt</w:t>
      </w:r>
      <w:r w:rsidRPr="000D1BD6">
        <w:rPr>
          <w:rFonts w:ascii="Times New Roman" w:hAnsi="Times New Roman" w:cs="Times New Roman"/>
        </w:rPr>
        <w:t xml:space="preserve">, cité dans Alain GROSJEAN, « La recevabilité du renvoi préjudiciel et reformulation par la Cour de Justice de l’Union Européenne », </w:t>
      </w:r>
      <w:r w:rsidRPr="000D1BD6">
        <w:rPr>
          <w:rFonts w:ascii="Times New Roman" w:hAnsi="Times New Roman" w:cs="Times New Roman"/>
          <w:i/>
        </w:rPr>
        <w:t>op. cit</w:t>
      </w:r>
      <w:r w:rsidRPr="000D1BD6">
        <w:rPr>
          <w:rFonts w:ascii="Times New Roman" w:hAnsi="Times New Roman" w:cs="Times New Roman"/>
        </w:rPr>
        <w:t>., p. 5.</w:t>
      </w:r>
    </w:p>
  </w:footnote>
  <w:footnote w:id="295">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1</w:t>
      </w:r>
      <w:r w:rsidRPr="000D1BD6">
        <w:rPr>
          <w:rFonts w:ascii="Times New Roman" w:hAnsi="Times New Roman" w:cs="Times New Roman"/>
          <w:vertAlign w:val="superscript"/>
        </w:rPr>
        <w:t>er</w:t>
      </w:r>
      <w:r w:rsidRPr="000D1BD6">
        <w:rPr>
          <w:rFonts w:ascii="Times New Roman" w:hAnsi="Times New Roman" w:cs="Times New Roman"/>
        </w:rPr>
        <w:t xml:space="preserve"> décembre 1965, </w:t>
      </w:r>
      <w:r w:rsidRPr="000D1BD6">
        <w:rPr>
          <w:rFonts w:ascii="Times New Roman" w:hAnsi="Times New Roman" w:cs="Times New Roman"/>
          <w:i/>
        </w:rPr>
        <w:t>FirmaSchwerze</w:t>
      </w:r>
      <w:r w:rsidRPr="000D1BD6">
        <w:rPr>
          <w:rFonts w:ascii="Times New Roman" w:hAnsi="Times New Roman" w:cs="Times New Roman"/>
        </w:rPr>
        <w:t xml:space="preserve">, Aff. 16/65, cité in Jean BOULOUIS, </w:t>
      </w:r>
      <w:r w:rsidRPr="000D1BD6">
        <w:rPr>
          <w:rFonts w:ascii="Times New Roman" w:hAnsi="Times New Roman" w:cs="Times New Roman"/>
          <w:i/>
        </w:rPr>
        <w:t>Droit institutionnel de l’Union européenne</w:t>
      </w:r>
      <w:r w:rsidRPr="000D1BD6">
        <w:rPr>
          <w:rFonts w:ascii="Times New Roman" w:hAnsi="Times New Roman" w:cs="Times New Roman"/>
        </w:rPr>
        <w:t>, 5</w:t>
      </w:r>
      <w:r w:rsidRPr="000D1BD6">
        <w:rPr>
          <w:rFonts w:ascii="Times New Roman" w:hAnsi="Times New Roman" w:cs="Times New Roman"/>
          <w:vertAlign w:val="superscript"/>
        </w:rPr>
        <w:t>ème</w:t>
      </w:r>
      <w:r w:rsidRPr="000D1BD6">
        <w:rPr>
          <w:rFonts w:ascii="Times New Roman" w:hAnsi="Times New Roman" w:cs="Times New Roman"/>
        </w:rPr>
        <w:t xml:space="preserve"> éd., </w:t>
      </w:r>
      <w:r w:rsidRPr="000D1BD6">
        <w:rPr>
          <w:rFonts w:ascii="Times New Roman" w:hAnsi="Times New Roman" w:cs="Times New Roman"/>
          <w:i/>
        </w:rPr>
        <w:t>op. cit</w:t>
      </w:r>
      <w:r w:rsidRPr="000D1BD6">
        <w:rPr>
          <w:rFonts w:ascii="Times New Roman" w:hAnsi="Times New Roman" w:cs="Times New Roman"/>
        </w:rPr>
        <w:t>., p. 312.</w:t>
      </w:r>
    </w:p>
  </w:footnote>
  <w:footnote w:id="296">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Cité par Alioune SALL, « Pour une plus grande pédagogie du contentieux communautaire : réflexion sur la mise en œuvre des procédures de collaboration avec les juridictions sous régionales (renvoi préjudiciel et demande d’avis) », </w:t>
      </w:r>
      <w:r w:rsidRPr="000D1BD6">
        <w:rPr>
          <w:rFonts w:ascii="Times New Roman" w:hAnsi="Times New Roman" w:cs="Times New Roman"/>
          <w:i/>
        </w:rPr>
        <w:t>Communication aux rencontres interjuridictionnelles</w:t>
      </w:r>
      <w:r w:rsidRPr="000D1BD6">
        <w:rPr>
          <w:rFonts w:ascii="Times New Roman" w:hAnsi="Times New Roman" w:cs="Times New Roman"/>
        </w:rPr>
        <w:t>, Dakar, du 4 au 6 mai 2010 ; Voir aussi Oumar TRAORE,  </w:t>
      </w:r>
      <w:r w:rsidRPr="000D1BD6">
        <w:rPr>
          <w:rFonts w:ascii="Times New Roman" w:hAnsi="Times New Roman" w:cs="Times New Roman"/>
          <w:i/>
        </w:rPr>
        <w:t>L’émergence du contentieux communautaire en Afrique de l’Ouest</w:t>
      </w:r>
      <w:r w:rsidRPr="000D1BD6">
        <w:rPr>
          <w:rFonts w:ascii="Times New Roman" w:hAnsi="Times New Roman" w:cs="Times New Roman"/>
        </w:rPr>
        <w:t xml:space="preserve">, </w:t>
      </w:r>
      <w:r w:rsidRPr="000D1BD6">
        <w:rPr>
          <w:rFonts w:ascii="Times New Roman" w:hAnsi="Times New Roman" w:cs="Times New Roman"/>
          <w:i/>
        </w:rPr>
        <w:t>op. cit</w:t>
      </w:r>
      <w:r w:rsidRPr="000D1BD6">
        <w:rPr>
          <w:rFonts w:ascii="Times New Roman" w:hAnsi="Times New Roman" w:cs="Times New Roman"/>
        </w:rPr>
        <w:t>., p. 30.</w:t>
      </w:r>
    </w:p>
  </w:footnote>
  <w:footnote w:id="297">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Guy  ISAAC, </w:t>
      </w:r>
      <w:r w:rsidRPr="000D1BD6">
        <w:rPr>
          <w:rFonts w:ascii="Times New Roman" w:hAnsi="Times New Roman" w:cs="Times New Roman"/>
          <w:i/>
        </w:rPr>
        <w:t>Droit Communautaire général</w:t>
      </w:r>
      <w:r w:rsidRPr="000D1BD6">
        <w:rPr>
          <w:rFonts w:ascii="Times New Roman" w:hAnsi="Times New Roman" w:cs="Times New Roman"/>
        </w:rPr>
        <w:t>, 3</w:t>
      </w:r>
      <w:r w:rsidRPr="000D1BD6">
        <w:rPr>
          <w:rFonts w:ascii="Times New Roman" w:hAnsi="Times New Roman" w:cs="Times New Roman"/>
          <w:vertAlign w:val="superscript"/>
        </w:rPr>
        <w:t>ème</w:t>
      </w:r>
      <w:r w:rsidRPr="000D1BD6">
        <w:rPr>
          <w:rFonts w:ascii="Times New Roman" w:hAnsi="Times New Roman" w:cs="Times New Roman"/>
        </w:rPr>
        <w:t xml:space="preserve"> éd., </w:t>
      </w:r>
      <w:r w:rsidRPr="000D1BD6">
        <w:rPr>
          <w:rFonts w:ascii="Times New Roman" w:hAnsi="Times New Roman" w:cs="Times New Roman"/>
          <w:i/>
        </w:rPr>
        <w:t>op. cit</w:t>
      </w:r>
      <w:r w:rsidRPr="000D1BD6">
        <w:rPr>
          <w:rFonts w:ascii="Times New Roman" w:hAnsi="Times New Roman" w:cs="Times New Roman"/>
        </w:rPr>
        <w:t xml:space="preserve">., p. 298. Voir aussi Jean BOULOUIS, </w:t>
      </w:r>
      <w:r w:rsidRPr="000D1BD6">
        <w:rPr>
          <w:rFonts w:ascii="Times New Roman" w:hAnsi="Times New Roman" w:cs="Times New Roman"/>
          <w:i/>
        </w:rPr>
        <w:t>Droit institutionnel de l’Union Européenne</w:t>
      </w:r>
      <w:r w:rsidRPr="000D1BD6">
        <w:rPr>
          <w:rFonts w:ascii="Times New Roman" w:hAnsi="Times New Roman" w:cs="Times New Roman"/>
        </w:rPr>
        <w:t>, 5</w:t>
      </w:r>
      <w:r w:rsidRPr="000D1BD6">
        <w:rPr>
          <w:rFonts w:ascii="Times New Roman" w:hAnsi="Times New Roman" w:cs="Times New Roman"/>
          <w:vertAlign w:val="superscript"/>
        </w:rPr>
        <w:t>ème</w:t>
      </w:r>
      <w:r w:rsidRPr="000D1BD6">
        <w:rPr>
          <w:rFonts w:ascii="Times New Roman" w:hAnsi="Times New Roman" w:cs="Times New Roman"/>
        </w:rPr>
        <w:t xml:space="preserve"> éd., </w:t>
      </w:r>
      <w:r w:rsidRPr="000D1BD6">
        <w:rPr>
          <w:rFonts w:ascii="Times New Roman" w:hAnsi="Times New Roman" w:cs="Times New Roman"/>
          <w:i/>
        </w:rPr>
        <w:t>op. cit</w:t>
      </w:r>
      <w:r w:rsidRPr="000D1BD6">
        <w:rPr>
          <w:rFonts w:ascii="Times New Roman" w:hAnsi="Times New Roman" w:cs="Times New Roman"/>
        </w:rPr>
        <w:t>., p. 312.</w:t>
      </w:r>
    </w:p>
  </w:footnote>
  <w:footnote w:id="298">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En droit européen, la C.J.C.E., dans son arrêt </w:t>
      </w:r>
      <w:r w:rsidRPr="000D1BD6">
        <w:rPr>
          <w:rFonts w:ascii="Times New Roman" w:hAnsi="Times New Roman" w:cs="Times New Roman"/>
          <w:i/>
        </w:rPr>
        <w:t>Mau</w:t>
      </w:r>
      <w:r w:rsidRPr="000D1BD6">
        <w:rPr>
          <w:rFonts w:ascii="Times New Roman" w:hAnsi="Times New Roman" w:cs="Times New Roman"/>
        </w:rPr>
        <w:t>, C-160/01 du 15 mai 2003, a décisivement affirmé qu’ « </w:t>
      </w:r>
      <w:r w:rsidRPr="000D1BD6">
        <w:rPr>
          <w:rFonts w:ascii="Times New Roman" w:hAnsi="Times New Roman" w:cs="Times New Roman"/>
          <w:i/>
        </w:rPr>
        <w:t>eu égard aux réponses apportées aux première, quatrième et sixième questions, il n’y a pas lieu de répondre aux troisième et cinquième questions</w:t>
      </w:r>
      <w:r w:rsidRPr="000D1BD6">
        <w:rPr>
          <w:rFonts w:ascii="Times New Roman" w:hAnsi="Times New Roman" w:cs="Times New Roman"/>
        </w:rPr>
        <w:t xml:space="preserve"> », cité par Alain GROSJEAN, </w:t>
      </w:r>
      <w:r w:rsidRPr="000D1BD6">
        <w:rPr>
          <w:rFonts w:ascii="Times New Roman" w:hAnsi="Times New Roman" w:cs="Times New Roman"/>
          <w:i/>
        </w:rPr>
        <w:t>op. cit.</w:t>
      </w:r>
      <w:r w:rsidRPr="000D1BD6">
        <w:rPr>
          <w:rFonts w:ascii="Times New Roman" w:hAnsi="Times New Roman" w:cs="Times New Roman"/>
        </w:rPr>
        <w:t>, p. 5.</w:t>
      </w:r>
    </w:p>
  </w:footnote>
  <w:footnote w:id="299">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Dans son arrêt </w:t>
      </w:r>
      <w:r w:rsidRPr="000D1BD6">
        <w:rPr>
          <w:rFonts w:ascii="Times New Roman" w:hAnsi="Times New Roman" w:cs="Times New Roman"/>
          <w:i/>
        </w:rPr>
        <w:t>Capespan International</w:t>
      </w:r>
      <w:r w:rsidRPr="000D1BD6">
        <w:rPr>
          <w:rFonts w:ascii="Times New Roman" w:hAnsi="Times New Roman" w:cs="Times New Roman"/>
        </w:rPr>
        <w:t xml:space="preserve"> du 16 janvier 2003, la CJCE a affirmé de façon péremptoire qu’ « </w:t>
      </w:r>
      <w:r w:rsidRPr="000D1BD6">
        <w:rPr>
          <w:rFonts w:ascii="Times New Roman" w:hAnsi="Times New Roman" w:cs="Times New Roman"/>
          <w:i/>
        </w:rPr>
        <w:t>en raison de la réponse apportée à la première question, la deuxième question  est devenue sans objet</w:t>
      </w:r>
      <w:r w:rsidRPr="000D1BD6">
        <w:rPr>
          <w:rFonts w:ascii="Times New Roman" w:hAnsi="Times New Roman" w:cs="Times New Roman"/>
        </w:rPr>
        <w:t xml:space="preserve"> », cité par Alain GROSJEAN, </w:t>
      </w:r>
      <w:r w:rsidRPr="000D1BD6">
        <w:rPr>
          <w:rFonts w:ascii="Times New Roman" w:hAnsi="Times New Roman" w:cs="Times New Roman"/>
          <w:i/>
        </w:rPr>
        <w:t xml:space="preserve">ibid. </w:t>
      </w:r>
      <w:r w:rsidRPr="000D1BD6">
        <w:rPr>
          <w:rFonts w:ascii="Times New Roman" w:hAnsi="Times New Roman" w:cs="Times New Roman"/>
        </w:rPr>
        <w:t xml:space="preserve">Sur ce point, Voyez aussi Guy ISAAC, </w:t>
      </w:r>
      <w:r w:rsidRPr="000D1BD6">
        <w:rPr>
          <w:rFonts w:ascii="Times New Roman" w:hAnsi="Times New Roman" w:cs="Times New Roman"/>
          <w:i/>
        </w:rPr>
        <w:t>Droit Communautaire général</w:t>
      </w:r>
      <w:r w:rsidRPr="000D1BD6">
        <w:rPr>
          <w:rFonts w:ascii="Times New Roman" w:hAnsi="Times New Roman" w:cs="Times New Roman"/>
        </w:rPr>
        <w:t>, 3</w:t>
      </w:r>
      <w:r w:rsidRPr="000D1BD6">
        <w:rPr>
          <w:rFonts w:ascii="Times New Roman" w:hAnsi="Times New Roman" w:cs="Times New Roman"/>
          <w:vertAlign w:val="superscript"/>
        </w:rPr>
        <w:t>ème</w:t>
      </w:r>
      <w:r w:rsidRPr="000D1BD6">
        <w:rPr>
          <w:rFonts w:ascii="Times New Roman" w:hAnsi="Times New Roman" w:cs="Times New Roman"/>
        </w:rPr>
        <w:t xml:space="preserve"> éd., </w:t>
      </w:r>
      <w:r w:rsidRPr="000D1BD6">
        <w:rPr>
          <w:rFonts w:ascii="Times New Roman" w:hAnsi="Times New Roman" w:cs="Times New Roman"/>
          <w:i/>
        </w:rPr>
        <w:t>op. cit</w:t>
      </w:r>
      <w:r w:rsidRPr="000D1BD6">
        <w:rPr>
          <w:rFonts w:ascii="Times New Roman" w:hAnsi="Times New Roman" w:cs="Times New Roman"/>
        </w:rPr>
        <w:t xml:space="preserve">., p. 298 ; et Jean BOULOUIS, </w:t>
      </w:r>
      <w:r w:rsidRPr="000D1BD6">
        <w:rPr>
          <w:rFonts w:ascii="Times New Roman" w:hAnsi="Times New Roman" w:cs="Times New Roman"/>
          <w:i/>
        </w:rPr>
        <w:t>Droit institutionnel de l’Union Européenne</w:t>
      </w:r>
      <w:r w:rsidRPr="000D1BD6">
        <w:rPr>
          <w:rFonts w:ascii="Times New Roman" w:hAnsi="Times New Roman" w:cs="Times New Roman"/>
        </w:rPr>
        <w:t>, 5</w:t>
      </w:r>
      <w:r w:rsidRPr="000D1BD6">
        <w:rPr>
          <w:rFonts w:ascii="Times New Roman" w:hAnsi="Times New Roman" w:cs="Times New Roman"/>
          <w:vertAlign w:val="superscript"/>
        </w:rPr>
        <w:t>ème</w:t>
      </w:r>
      <w:r w:rsidRPr="000D1BD6">
        <w:rPr>
          <w:rFonts w:ascii="Times New Roman" w:hAnsi="Times New Roman" w:cs="Times New Roman"/>
        </w:rPr>
        <w:t xml:space="preserve"> éd., </w:t>
      </w:r>
      <w:r w:rsidRPr="000D1BD6">
        <w:rPr>
          <w:rFonts w:ascii="Times New Roman" w:hAnsi="Times New Roman" w:cs="Times New Roman"/>
          <w:i/>
        </w:rPr>
        <w:t>op. cit</w:t>
      </w:r>
      <w:r w:rsidRPr="000D1BD6">
        <w:rPr>
          <w:rFonts w:ascii="Times New Roman" w:hAnsi="Times New Roman" w:cs="Times New Roman"/>
        </w:rPr>
        <w:t>., p. 312.</w:t>
      </w:r>
    </w:p>
  </w:footnote>
  <w:footnote w:id="300">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Dans le système communautaire européen, les difficultés procédurales prennent le devant sur les difficultés matérielles.</w:t>
      </w:r>
    </w:p>
  </w:footnote>
  <w:footnote w:id="301">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Cette expression, nous l’empruntons au Professeur Luc Marius IBRIGA qui l’utilise dans sa communication rendue le 11 Mai 2006 à la faculté de droit de l’Université de Rouen, à propos de « la problématique de la juridictionnalisation des processus d’intégration en Afrique de l’Ouest », p. 5, note n°16, accessible en ligne sur </w:t>
      </w:r>
      <w:hyperlink r:id="rId21" w:history="1">
        <w:r w:rsidRPr="000D1BD6">
          <w:rPr>
            <w:rStyle w:val="Lienhypertexte"/>
            <w:rFonts w:ascii="Times New Roman" w:hAnsi="Times New Roman" w:cs="Times New Roman"/>
          </w:rPr>
          <w:t>http://www.institut-idef.org</w:t>
        </w:r>
      </w:hyperlink>
      <w:r w:rsidRPr="000D1BD6">
        <w:rPr>
          <w:rFonts w:ascii="Times New Roman" w:hAnsi="Times New Roman" w:cs="Times New Roman"/>
        </w:rPr>
        <w:t xml:space="preserve"> , consulté le 02 juin 2017.</w:t>
      </w:r>
    </w:p>
  </w:footnote>
  <w:footnote w:id="302">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C’est-à-dire par rapport à l’UEMOA et à l’OHADA.</w:t>
      </w:r>
    </w:p>
  </w:footnote>
  <w:footnote w:id="303">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Art. 2 du Traité de Lagos du 28 mai 1975.</w:t>
      </w:r>
    </w:p>
  </w:footnote>
  <w:footnote w:id="304">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Ce Traité est entré en vigueur au juin de la même année.</w:t>
      </w:r>
    </w:p>
  </w:footnote>
  <w:footnote w:id="305">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Art. 15 du Traité révisé du 24 juillet 1993.</w:t>
      </w:r>
    </w:p>
  </w:footnote>
  <w:footnote w:id="306">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Art. 3 du Traité révisé du 24 juillet 1993.</w:t>
      </w:r>
    </w:p>
  </w:footnote>
  <w:footnote w:id="307">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Art. 1 du Protocole d’Abuja du 14 juin 2006 Portant amendement du Traité révisé de la CEDEAO.</w:t>
      </w:r>
    </w:p>
  </w:footnote>
  <w:footnote w:id="308">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Cf. Alliance Borderless, Recueil des principaux textes Règlementaires sur le commerce régional en Afrique de l’Ouest, p. 9, accessible en ligne à l’adresse suivante : </w:t>
      </w:r>
      <w:hyperlink r:id="rId22" w:history="1">
        <w:r w:rsidRPr="000D1BD6">
          <w:rPr>
            <w:rStyle w:val="Lienhypertexte"/>
            <w:rFonts w:ascii="Times New Roman" w:hAnsi="Times New Roman" w:cs="Times New Roman"/>
          </w:rPr>
          <w:t>http://borderlesswa.com</w:t>
        </w:r>
      </w:hyperlink>
      <w:r w:rsidRPr="000D1BD6">
        <w:rPr>
          <w:rFonts w:ascii="Times New Roman" w:hAnsi="Times New Roman" w:cs="Times New Roman"/>
        </w:rPr>
        <w:t xml:space="preserve"> , consulté le 11 février 2018.</w:t>
      </w:r>
    </w:p>
  </w:footnote>
  <w:footnote w:id="309">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Forme d’intégration à caractère éminemment économique, l’Union économique correspond au marché commun plus harmonisation des politiques économiques, financières et sociales.</w:t>
      </w:r>
    </w:p>
  </w:footnote>
  <w:footnote w:id="310">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Forme élémentaire de l’intégration économique, la zone de libre-échange correspond à la zone dans laquelle deux ou plusieurs Etats éliminent dans leurs rapports mutuels les restrictions tarifaires et non tarifaires à leurs échanges commerciaux.</w:t>
      </w:r>
    </w:p>
  </w:footnote>
  <w:footnote w:id="311">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C’est une zone de libre-échange accompagné d’un tarif douanier commun. En termes clair, elle correspond à la situation dans laquelle deux ou plusieurs Etats, d’une part, éliminent dans leurs rapports mutuels les restrictions tarifaires et non tarifaires à leurs échanges commerciaux et, d’autre part, instituent une protection commune tarifaire (TEC) ou non tarifaire dans leurs rapports avec les Etats tiers.</w:t>
      </w:r>
    </w:p>
  </w:footnote>
  <w:footnote w:id="312">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Il correspond à l’Union douanière avec toutefois une libre circulation des facteurs de production à l’intérieur de la communauté. En d’autres termes, le marché commun correspond à la situation dans laquelle deux ou plusieurs Etats, d’abord, éliminent dans leurs rapports mutuels les restrictions tarifaires et non tarifaires ; ensuite, instituent une protection commune tarifaire et non tarifaire dans leurs rapports commerciaux avec les Etats tiers ; enfin, suppriment toutes  restrictions à la libre circulation des autres facteurs économiques et tendent à créer un milieu économique homogène. </w:t>
      </w:r>
    </w:p>
  </w:footnote>
  <w:footnote w:id="313">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Juridiquement, la souveraineté nationale s’entend d’un </w:t>
      </w:r>
      <w:r w:rsidRPr="000D1BD6">
        <w:rPr>
          <w:rFonts w:ascii="Times New Roman" w:hAnsi="Times New Roman" w:cs="Times New Roman"/>
          <w:i/>
        </w:rPr>
        <w:t>« pouvoir de droit (en raison de son institutionnalisation) originaire (c’est-à-dire ne dérivant d’aucun autre pouvoir) et suprême (en ce sens qu’il n’a pas d’égal dans l’ordre interne ni de supérieur dans l’ordre international, où il n’est limité que par ses propres engagements et par le droit international)</w:t>
      </w:r>
      <w:r w:rsidRPr="000D1BD6">
        <w:rPr>
          <w:rFonts w:ascii="Times New Roman" w:hAnsi="Times New Roman" w:cs="Times New Roman"/>
        </w:rPr>
        <w:t xml:space="preserve"> », Voy., Serge GUINCHARD et Thierry DEBARD, </w:t>
      </w:r>
      <w:r w:rsidRPr="000D1BD6">
        <w:rPr>
          <w:rFonts w:ascii="Times New Roman" w:hAnsi="Times New Roman" w:cs="Times New Roman"/>
          <w:i/>
        </w:rPr>
        <w:t>Lexique des termesjuridiques</w:t>
      </w:r>
      <w:r w:rsidRPr="000D1BD6">
        <w:rPr>
          <w:rFonts w:ascii="Times New Roman" w:hAnsi="Times New Roman" w:cs="Times New Roman"/>
        </w:rPr>
        <w:t>, Dalloz, 19</w:t>
      </w:r>
      <w:r w:rsidRPr="000D1BD6">
        <w:rPr>
          <w:rFonts w:ascii="Times New Roman" w:hAnsi="Times New Roman" w:cs="Times New Roman"/>
          <w:vertAlign w:val="superscript"/>
        </w:rPr>
        <w:t>ème</w:t>
      </w:r>
      <w:r w:rsidRPr="000D1BD6">
        <w:rPr>
          <w:rFonts w:ascii="Times New Roman" w:hAnsi="Times New Roman" w:cs="Times New Roman"/>
        </w:rPr>
        <w:t xml:space="preserve"> éd., </w:t>
      </w:r>
      <w:r w:rsidRPr="000D1BD6">
        <w:rPr>
          <w:rFonts w:ascii="Times New Roman" w:hAnsi="Times New Roman" w:cs="Times New Roman"/>
          <w:i/>
        </w:rPr>
        <w:t>op. cit</w:t>
      </w:r>
      <w:r w:rsidRPr="000D1BD6">
        <w:rPr>
          <w:rFonts w:ascii="Times New Roman" w:hAnsi="Times New Roman" w:cs="Times New Roman"/>
        </w:rPr>
        <w:t>., p. 816.</w:t>
      </w:r>
    </w:p>
  </w:footnote>
  <w:footnote w:id="314">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Luc Marius IBRIGA, « L’ordre juridique communautaire et plus spécialement le droit dérivé », Séminaire organisé par l’Union Internationale des Avocats en collaboration avec l’ordre des Avocats du Bénin, p. 13, accessible en ligne sur : </w:t>
      </w:r>
      <w:hyperlink r:id="rId23" w:history="1">
        <w:r w:rsidRPr="000D1BD6">
          <w:rPr>
            <w:rStyle w:val="Lienhypertexte"/>
            <w:rFonts w:ascii="Times New Roman" w:hAnsi="Times New Roman" w:cs="Times New Roman"/>
          </w:rPr>
          <w:t>http://www.uianet.org</w:t>
        </w:r>
      </w:hyperlink>
      <w:r w:rsidRPr="000D1BD6">
        <w:rPr>
          <w:rFonts w:ascii="Times New Roman" w:hAnsi="Times New Roman" w:cs="Times New Roman"/>
        </w:rPr>
        <w:t xml:space="preserve"> , consulté le 20 juillet 2017.  </w:t>
      </w:r>
    </w:p>
  </w:footnote>
  <w:footnote w:id="315">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Abdoulaye SOMA, « Les caractères généraux du droit communautaire », </w:t>
      </w:r>
      <w:r w:rsidRPr="000D1BD6">
        <w:rPr>
          <w:rFonts w:ascii="Times New Roman" w:hAnsi="Times New Roman" w:cs="Times New Roman"/>
          <w:i/>
        </w:rPr>
        <w:t>op. cit</w:t>
      </w:r>
      <w:r w:rsidRPr="000D1BD6">
        <w:rPr>
          <w:rFonts w:ascii="Times New Roman" w:hAnsi="Times New Roman" w:cs="Times New Roman"/>
        </w:rPr>
        <w:t>., p. 1.</w:t>
      </w:r>
    </w:p>
  </w:footnote>
  <w:footnote w:id="316">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Guy ISAAC, </w:t>
      </w:r>
      <w:r w:rsidRPr="000D1BD6">
        <w:rPr>
          <w:rFonts w:ascii="Times New Roman" w:hAnsi="Times New Roman" w:cs="Times New Roman"/>
          <w:i/>
        </w:rPr>
        <w:t>Droit communautaire général</w:t>
      </w:r>
      <w:r w:rsidRPr="000D1BD6">
        <w:rPr>
          <w:rFonts w:ascii="Times New Roman" w:hAnsi="Times New Roman" w:cs="Times New Roman"/>
        </w:rPr>
        <w:t>, 3</w:t>
      </w:r>
      <w:r w:rsidRPr="000D1BD6">
        <w:rPr>
          <w:rFonts w:ascii="Times New Roman" w:hAnsi="Times New Roman" w:cs="Times New Roman"/>
          <w:vertAlign w:val="superscript"/>
        </w:rPr>
        <w:t>ème</w:t>
      </w:r>
      <w:r w:rsidRPr="000D1BD6">
        <w:rPr>
          <w:rFonts w:ascii="Times New Roman" w:hAnsi="Times New Roman" w:cs="Times New Roman"/>
        </w:rPr>
        <w:t xml:space="preserve"> éd., </w:t>
      </w:r>
      <w:r w:rsidRPr="000D1BD6">
        <w:rPr>
          <w:rFonts w:ascii="Times New Roman" w:hAnsi="Times New Roman" w:cs="Times New Roman"/>
          <w:i/>
        </w:rPr>
        <w:t>op. cit</w:t>
      </w:r>
      <w:r w:rsidRPr="000D1BD6">
        <w:rPr>
          <w:rFonts w:ascii="Times New Roman" w:hAnsi="Times New Roman" w:cs="Times New Roman"/>
        </w:rPr>
        <w:t>., p. 151.</w:t>
      </w:r>
    </w:p>
  </w:footnote>
  <w:footnote w:id="317">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Voir les arts. 29 et 30 du Traité révisé de la CEDEAO du 24 juillet 1993 ; Voyez aussi  Bougonou K. Djeri-Alassani, « Le développement et la mise en œuvre du droit de l’environnement par les institutions internationales et communautaires : cas de la Communauté des Etats de l’Afrique de l’Ouest (CEDEAO/ECOWAS) », </w:t>
      </w:r>
      <w:r w:rsidRPr="000D1BD6">
        <w:rPr>
          <w:rFonts w:ascii="Times New Roman" w:hAnsi="Times New Roman" w:cs="Times New Roman"/>
          <w:i/>
        </w:rPr>
        <w:t>Colloque international sur le droit de l’environnement en Afrique</w:t>
      </w:r>
      <w:r w:rsidRPr="000D1BD6">
        <w:rPr>
          <w:rFonts w:ascii="Times New Roman" w:hAnsi="Times New Roman" w:cs="Times New Roman"/>
        </w:rPr>
        <w:t xml:space="preserve">, Abidjan, 29-31 octobre 2013, accessible en ligne à l’adresse suivante : </w:t>
      </w:r>
      <w:hyperlink r:id="rId24" w:history="1">
        <w:r w:rsidRPr="000D1BD6">
          <w:rPr>
            <w:rStyle w:val="Lienhypertexte"/>
            <w:rFonts w:ascii="Times New Roman" w:hAnsi="Times New Roman" w:cs="Times New Roman"/>
          </w:rPr>
          <w:t>https://cmsdata.iucn.org</w:t>
        </w:r>
      </w:hyperlink>
      <w:r w:rsidRPr="000D1BD6">
        <w:rPr>
          <w:rFonts w:ascii="Times New Roman" w:hAnsi="Times New Roman" w:cs="Times New Roman"/>
        </w:rPr>
        <w:t xml:space="preserve"> , consulté le 05 mars 2017.</w:t>
      </w:r>
    </w:p>
  </w:footnote>
  <w:footnote w:id="318">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Art. 59 du Traité révisé. Voir aussi le Protocole A/P1/5/79 Portant sur la libre circulation des personnes, le droit de résidence et d’établissement, signé à Dakar le 29 mai 1979.</w:t>
      </w:r>
    </w:p>
  </w:footnote>
  <w:footnote w:id="319">
    <w:p w:rsidR="00E52745" w:rsidRPr="000D1BD6" w:rsidRDefault="00E52745" w:rsidP="001019F9">
      <w:pPr>
        <w:pStyle w:val="Notedebasdepage"/>
        <w:jc w:val="both"/>
        <w:rPr>
          <w:rFonts w:ascii="Times New Roman" w:hAnsi="Times New Roman" w:cs="Times New Roman"/>
          <w:color w:val="FF0000"/>
        </w:rPr>
      </w:pPr>
      <w:r w:rsidRPr="000D1BD6">
        <w:rPr>
          <w:rStyle w:val="Appelnotedebasdep"/>
          <w:rFonts w:ascii="Times New Roman" w:hAnsi="Times New Roman" w:cs="Times New Roman"/>
        </w:rPr>
        <w:footnoteRef/>
      </w:r>
      <w:r w:rsidRPr="000D1BD6">
        <w:rPr>
          <w:rFonts w:ascii="Times New Roman" w:hAnsi="Times New Roman" w:cs="Times New Roman"/>
        </w:rPr>
        <w:t xml:space="preserve"> Voir le Protocole A/SP1/12/01 sur la démocratie et la bonne gouvernance additionnel au Protocole relatif au mécanisme de prévention, de Gestion, de Règlement des conflits, de maintien de la paix et de la sécurité. Son art. 1 consacre les principes constitutionnels communs à tous les Etats membres de la CEDEAO.</w:t>
      </w:r>
    </w:p>
  </w:footnote>
  <w:footnote w:id="320">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Voir le chapitre XV du Traité révisé du 24 juillet 1993. L’art. 76 dudit Traité prévoit un mode de règlement des différends semblable à celui existant en droit international public. </w:t>
      </w:r>
    </w:p>
  </w:footnote>
  <w:footnote w:id="321">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Sur ce point, Voy., l’Acte Additionnel A/SA. 1/06/08 Portant Adoption des Règles communautaires de la concurrence et de leurs modalités d’application au sein de la CEDEAO du 19 décembre 2008.</w:t>
      </w:r>
    </w:p>
  </w:footnote>
  <w:footnote w:id="322">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Il s’agit du droit des investissements, du droit international de l’environnement, du droit des échanges commerciaux, du droit international privé, pour ne citer que cela.</w:t>
      </w:r>
    </w:p>
  </w:footnote>
  <w:footnote w:id="323">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En droit OHADA, l’existence de l’ERSUMA a permis la formation continue des magistrats appelés à suivre l’application du droit harmonisé des affaires. Il en est de même en droit de l’Union européen à travers l’Académie de droit européen à Trèves, le centre des études européennes à Strasbourg et l’institut européen d’administration publique à Maastricht et à Luxembourg qui participent à la formation continue en droit communautaire des magistrats des Etats membres.</w:t>
      </w:r>
    </w:p>
  </w:footnote>
  <w:footnote w:id="324">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Arrêt </w:t>
      </w:r>
      <w:r w:rsidRPr="000D1BD6">
        <w:rPr>
          <w:rFonts w:ascii="Times New Roman" w:hAnsi="Times New Roman" w:cs="Times New Roman"/>
          <w:i/>
        </w:rPr>
        <w:t>Costa</w:t>
      </w:r>
      <w:r w:rsidRPr="000D1BD6">
        <w:rPr>
          <w:rFonts w:ascii="Times New Roman" w:hAnsi="Times New Roman" w:cs="Times New Roman"/>
        </w:rPr>
        <w:t>, précité.</w:t>
      </w:r>
    </w:p>
  </w:footnote>
  <w:footnote w:id="325">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Julie KAPRIELIAN, « Le renvoi préjudiciel en droit de l’Union : un mécanisme assurant la protection juridictionnelle effective des individus ? », </w:t>
      </w:r>
      <w:r w:rsidRPr="000D1BD6">
        <w:rPr>
          <w:rFonts w:ascii="Times New Roman" w:hAnsi="Times New Roman" w:cs="Times New Roman"/>
          <w:i/>
        </w:rPr>
        <w:t>op. cit</w:t>
      </w:r>
      <w:r w:rsidRPr="000D1BD6">
        <w:rPr>
          <w:rFonts w:ascii="Times New Roman" w:hAnsi="Times New Roman" w:cs="Times New Roman"/>
        </w:rPr>
        <w:t>., p. 78.</w:t>
      </w:r>
    </w:p>
  </w:footnote>
  <w:footnote w:id="326">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G. JURGELAITIENE, K. SIMANSKIS, « Le renvoi préjudiciel dans un système des contentieux communautaires peut-il être un remède au déséquilibre de protection juridictionnelle à l’égard des requérants individuels ? », </w:t>
      </w:r>
      <w:r w:rsidR="006867E7" w:rsidRPr="006867E7">
        <w:rPr>
          <w:rFonts w:ascii="Times New Roman" w:hAnsi="Times New Roman" w:cs="Times New Roman"/>
          <w:i/>
        </w:rPr>
        <w:t>in</w:t>
      </w:r>
      <w:r w:rsidRPr="000D1BD6">
        <w:rPr>
          <w:rFonts w:ascii="Times New Roman" w:hAnsi="Times New Roman" w:cs="Times New Roman"/>
          <w:i/>
        </w:rPr>
        <w:t>Current issues of business and Law</w:t>
      </w:r>
      <w:r w:rsidRPr="000D1BD6">
        <w:rPr>
          <w:rFonts w:ascii="Times New Roman" w:hAnsi="Times New Roman" w:cs="Times New Roman"/>
        </w:rPr>
        <w:t>, 2009, Vol. 3, p. 179.</w:t>
      </w:r>
    </w:p>
  </w:footnote>
  <w:footnote w:id="327">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Art. 10, f du Protocole d’Accra du 19 janvier 2005.</w:t>
      </w:r>
    </w:p>
  </w:footnote>
  <w:footnote w:id="328">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C’est nous qui mettons les guillemets.</w:t>
      </w:r>
    </w:p>
  </w:footnote>
  <w:footnote w:id="329">
    <w:p w:rsidR="00E52745" w:rsidRPr="000D1BD6" w:rsidRDefault="00E52745" w:rsidP="00A4215E">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Jiri MALENOVSKY, </w:t>
      </w:r>
      <w:r w:rsidRPr="000D1BD6">
        <w:rPr>
          <w:rFonts w:ascii="Times New Roman" w:hAnsi="Times New Roman" w:cs="Times New Roman"/>
          <w:i/>
        </w:rPr>
        <w:t>op. cit</w:t>
      </w:r>
      <w:r w:rsidRPr="000D1BD6">
        <w:rPr>
          <w:rFonts w:ascii="Times New Roman" w:hAnsi="Times New Roman" w:cs="Times New Roman"/>
        </w:rPr>
        <w:t>., p. 8. </w:t>
      </w:r>
    </w:p>
  </w:footnote>
  <w:footnote w:id="330">
    <w:p w:rsidR="00E52745" w:rsidRPr="000D1BD6" w:rsidRDefault="00E52745" w:rsidP="001C28FB">
      <w:pPr>
        <w:pStyle w:val="Notedebasdepage"/>
        <w:tabs>
          <w:tab w:val="left" w:pos="1590"/>
          <w:tab w:val="left" w:pos="6612"/>
        </w:tabs>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i/>
        </w:rPr>
        <w:t>Ibid.</w:t>
      </w:r>
      <w:r w:rsidRPr="000D1BD6">
        <w:rPr>
          <w:rFonts w:ascii="Times New Roman" w:hAnsi="Times New Roman" w:cs="Times New Roman"/>
          <w:i/>
        </w:rPr>
        <w:tab/>
      </w:r>
      <w:r w:rsidRPr="000D1BD6">
        <w:rPr>
          <w:rFonts w:ascii="Times New Roman" w:hAnsi="Times New Roman" w:cs="Times New Roman"/>
          <w:i/>
        </w:rPr>
        <w:tab/>
      </w:r>
    </w:p>
  </w:footnote>
  <w:footnote w:id="331">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Paul CASSIA,  </w:t>
      </w:r>
      <w:r w:rsidRPr="000D1BD6">
        <w:rPr>
          <w:rFonts w:ascii="Times New Roman" w:hAnsi="Times New Roman" w:cs="Times New Roman"/>
          <w:i/>
        </w:rPr>
        <w:t>L’accès des personnes physiques ou morales au juge de la légalité des actes communautaires</w:t>
      </w:r>
      <w:r w:rsidRPr="000D1BD6">
        <w:rPr>
          <w:rFonts w:ascii="Times New Roman" w:hAnsi="Times New Roman" w:cs="Times New Roman"/>
        </w:rPr>
        <w:t>, Thèse de doctorat, Université Panthéon Sorbonne Paris I, 2000, p. 835.</w:t>
      </w:r>
    </w:p>
  </w:footnote>
  <w:footnote w:id="332">
    <w:p w:rsidR="00E52745" w:rsidRPr="000D1BD6" w:rsidRDefault="00E52745" w:rsidP="0058219D">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Jiri MALENOVSKY, </w:t>
      </w:r>
      <w:r w:rsidRPr="000D1BD6">
        <w:rPr>
          <w:rFonts w:ascii="Times New Roman" w:hAnsi="Times New Roman" w:cs="Times New Roman"/>
          <w:i/>
        </w:rPr>
        <w:t>op. cit.,</w:t>
      </w:r>
      <w:r w:rsidRPr="000D1BD6">
        <w:rPr>
          <w:rFonts w:ascii="Times New Roman" w:hAnsi="Times New Roman" w:cs="Times New Roman"/>
        </w:rPr>
        <w:t xml:space="preserve"> p. 8.</w:t>
      </w:r>
    </w:p>
  </w:footnote>
  <w:footnote w:id="333">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Voir  l’art. 12, al. 2 du Protocole Additionnel n°1 sur les organes de contrôle de l’UEMOA. </w:t>
      </w:r>
    </w:p>
  </w:footnote>
  <w:footnote w:id="334">
    <w:p w:rsidR="00E52745" w:rsidRPr="000D1BD6" w:rsidRDefault="00E52745" w:rsidP="001019F9">
      <w:pPr>
        <w:pStyle w:val="Notedebasdepage"/>
        <w:jc w:val="both"/>
        <w:rPr>
          <w:rFonts w:ascii="Times New Roman" w:hAnsi="Times New Roman" w:cs="Times New Roman"/>
          <w:color w:val="FF0000"/>
        </w:rPr>
      </w:pPr>
      <w:r w:rsidRPr="000D1BD6">
        <w:rPr>
          <w:rStyle w:val="Appelnotedebasdep"/>
          <w:rFonts w:ascii="Times New Roman" w:hAnsi="Times New Roman" w:cs="Times New Roman"/>
        </w:rPr>
        <w:footnoteRef/>
      </w:r>
      <w:r w:rsidRPr="000D1BD6">
        <w:rPr>
          <w:rFonts w:ascii="Times New Roman" w:hAnsi="Times New Roman" w:cs="Times New Roman"/>
        </w:rPr>
        <w:t xml:space="preserve"> Voir les als. 2 et 3 de l’art. 267 du TFUE. </w:t>
      </w:r>
    </w:p>
  </w:footnote>
  <w:footnote w:id="335">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Cette instance pourrait être mise en place au sein même des juridictions suprêmes, chargées de trancher les cas de refus de renvoi, car selon les termes de l’arrêt Bosch, « </w:t>
      </w:r>
      <w:r w:rsidRPr="000D1BD6">
        <w:rPr>
          <w:rFonts w:ascii="Times New Roman" w:hAnsi="Times New Roman" w:cs="Times New Roman"/>
          <w:i/>
        </w:rPr>
        <w:t>le droit national de la juridiction qui demande une décision préjudicielle et le droit communautaire constituent deux ordres juridiques distincts et différents</w:t>
      </w:r>
      <w:r w:rsidRPr="000D1BD6">
        <w:rPr>
          <w:rFonts w:ascii="Times New Roman" w:hAnsi="Times New Roman" w:cs="Times New Roman"/>
        </w:rPr>
        <w:t xml:space="preserve"> », C.J.C.E., Arrêt du 6 avril 1962, </w:t>
      </w:r>
      <w:r w:rsidRPr="000D1BD6">
        <w:rPr>
          <w:rFonts w:ascii="Times New Roman" w:hAnsi="Times New Roman" w:cs="Times New Roman"/>
          <w:i/>
        </w:rPr>
        <w:t>Bosch</w:t>
      </w:r>
      <w:r w:rsidRPr="000D1BD6">
        <w:rPr>
          <w:rFonts w:ascii="Times New Roman" w:hAnsi="Times New Roman" w:cs="Times New Roman"/>
        </w:rPr>
        <w:t>, Aff. 13/61.</w:t>
      </w:r>
    </w:p>
  </w:footnote>
  <w:footnote w:id="336">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Guy CANIVET, « Le droit communautaire et l’office du juge national », </w:t>
      </w:r>
      <w:r w:rsidRPr="000D1BD6">
        <w:rPr>
          <w:rFonts w:ascii="Times New Roman" w:hAnsi="Times New Roman" w:cs="Times New Roman"/>
          <w:i/>
        </w:rPr>
        <w:t>in Droit et société</w:t>
      </w:r>
      <w:r w:rsidRPr="000D1BD6">
        <w:rPr>
          <w:rFonts w:ascii="Times New Roman" w:hAnsi="Times New Roman" w:cs="Times New Roman"/>
        </w:rPr>
        <w:t>, 1992, n°20-21, pp. 133-141.</w:t>
      </w:r>
    </w:p>
  </w:footnote>
  <w:footnote w:id="337">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Art. 9 du Protocole Additionnel (A/SP. 1/01/05) Portant Amendement du Protocole (A/P. 1/7/91) relatif à la Cour de justice de la communauté.</w:t>
      </w:r>
    </w:p>
  </w:footnote>
  <w:footnote w:id="338">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Jean-Louis CLERGERIE, </w:t>
      </w:r>
      <w:r w:rsidRPr="000D1BD6">
        <w:rPr>
          <w:rFonts w:ascii="Times New Roman" w:hAnsi="Times New Roman" w:cs="Times New Roman"/>
          <w:i/>
        </w:rPr>
        <w:t>Le renvoi préjudiciel</w:t>
      </w:r>
      <w:r w:rsidRPr="000D1BD6">
        <w:rPr>
          <w:rFonts w:ascii="Times New Roman" w:hAnsi="Times New Roman" w:cs="Times New Roman"/>
        </w:rPr>
        <w:t xml:space="preserve">, </w:t>
      </w:r>
      <w:r w:rsidRPr="000D1BD6">
        <w:rPr>
          <w:rFonts w:ascii="Times New Roman" w:hAnsi="Times New Roman" w:cs="Times New Roman"/>
          <w:i/>
        </w:rPr>
        <w:t>op. cit</w:t>
      </w:r>
      <w:r w:rsidRPr="000D1BD6">
        <w:rPr>
          <w:rFonts w:ascii="Times New Roman" w:hAnsi="Times New Roman" w:cs="Times New Roman"/>
        </w:rPr>
        <w:t>., p. 132 et Ss.</w:t>
      </w:r>
    </w:p>
  </w:footnote>
  <w:footnote w:id="339">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i/>
        </w:rPr>
        <w:t>Ibid.</w:t>
      </w:r>
      <w:r w:rsidRPr="000D1BD6">
        <w:rPr>
          <w:rFonts w:ascii="Times New Roman" w:hAnsi="Times New Roman" w:cs="Times New Roman"/>
        </w:rPr>
        <w:t>, p. 132.</w:t>
      </w:r>
    </w:p>
  </w:footnote>
  <w:footnote w:id="340">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Jean BOULOUIS, </w:t>
      </w:r>
      <w:r w:rsidRPr="000D1BD6">
        <w:rPr>
          <w:rFonts w:ascii="Times New Roman" w:hAnsi="Times New Roman" w:cs="Times New Roman"/>
          <w:i/>
        </w:rPr>
        <w:t>Droit institutionnel de l’Union Européenne</w:t>
      </w:r>
      <w:r w:rsidRPr="000D1BD6">
        <w:rPr>
          <w:rFonts w:ascii="Times New Roman" w:hAnsi="Times New Roman" w:cs="Times New Roman"/>
        </w:rPr>
        <w:t>, 5</w:t>
      </w:r>
      <w:r w:rsidRPr="000D1BD6">
        <w:rPr>
          <w:rFonts w:ascii="Times New Roman" w:hAnsi="Times New Roman" w:cs="Times New Roman"/>
          <w:vertAlign w:val="superscript"/>
        </w:rPr>
        <w:t>ème</w:t>
      </w:r>
      <w:r w:rsidRPr="000D1BD6">
        <w:rPr>
          <w:rFonts w:ascii="Times New Roman" w:hAnsi="Times New Roman" w:cs="Times New Roman"/>
        </w:rPr>
        <w:t xml:space="preserve"> éd., </w:t>
      </w:r>
      <w:r w:rsidRPr="000D1BD6">
        <w:rPr>
          <w:rFonts w:ascii="Times New Roman" w:hAnsi="Times New Roman" w:cs="Times New Roman"/>
          <w:i/>
        </w:rPr>
        <w:t>op. cit</w:t>
      </w:r>
      <w:r w:rsidRPr="000D1BD6">
        <w:rPr>
          <w:rFonts w:ascii="Times New Roman" w:hAnsi="Times New Roman" w:cs="Times New Roman"/>
        </w:rPr>
        <w:t xml:space="preserve">., p. 314. Voir aussi André LEGRAND et Céline WIENER, </w:t>
      </w:r>
      <w:r w:rsidRPr="000D1BD6">
        <w:rPr>
          <w:rFonts w:ascii="Times New Roman" w:hAnsi="Times New Roman" w:cs="Times New Roman"/>
          <w:i/>
        </w:rPr>
        <w:t>Le Droit public</w:t>
      </w:r>
      <w:r w:rsidRPr="000D1BD6">
        <w:rPr>
          <w:rFonts w:ascii="Times New Roman" w:hAnsi="Times New Roman" w:cs="Times New Roman"/>
        </w:rPr>
        <w:t>, Paris, la documentation Française, édition 2011, p. 228.</w:t>
      </w:r>
    </w:p>
  </w:footnote>
  <w:footnote w:id="341">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Joe VERHOEVEN, </w:t>
      </w:r>
      <w:r w:rsidRPr="000D1BD6">
        <w:rPr>
          <w:rFonts w:ascii="Times New Roman" w:hAnsi="Times New Roman" w:cs="Times New Roman"/>
          <w:i/>
        </w:rPr>
        <w:t>Droit de la communauté européenne</w:t>
      </w:r>
      <w:r w:rsidRPr="000D1BD6">
        <w:rPr>
          <w:rFonts w:ascii="Times New Roman" w:hAnsi="Times New Roman" w:cs="Times New Roman"/>
        </w:rPr>
        <w:t xml:space="preserve">, </w:t>
      </w:r>
      <w:r w:rsidRPr="000D1BD6">
        <w:rPr>
          <w:rFonts w:ascii="Times New Roman" w:hAnsi="Times New Roman" w:cs="Times New Roman"/>
          <w:i/>
        </w:rPr>
        <w:t>op. cit</w:t>
      </w:r>
      <w:r w:rsidRPr="000D1BD6">
        <w:rPr>
          <w:rFonts w:ascii="Times New Roman" w:hAnsi="Times New Roman" w:cs="Times New Roman"/>
        </w:rPr>
        <w:t>., p. 319, § 6.</w:t>
      </w:r>
    </w:p>
  </w:footnote>
  <w:footnote w:id="342">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La soumission du renvoi à une procédure d’urgence a lieu soit d’office à titre exceptionnel, soit à la  demande de la juridiction nationale à l’initiative de la question. Dans ce dernier cas, la juridiction de renvoi doit prouver le caractère urgent nécessaire à la procédure. L’objectif de cette procédure est de faire progresser l’effectivité du renvoi, en réduisant le délai moyen de traitement. Toutefois, il convient de garder à l’esprit que cette procédure ne peut être accordée que dans certains domaines en vue de protéger les intérêts individuels de manière effective. Il s’agit des domaines qui ont trait à la liberté, à la justice et à la sécurité régionale. Voir les articles 56 à 59 du Traité révisé de la CEDEAO ; la même ressemblance existe en droit européen, notamment à travers le titre V de la troisième partie du Traité sur le fonctionnement de l’Union européenne. </w:t>
      </w:r>
    </w:p>
  </w:footnote>
  <w:footnote w:id="343">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Natalie FRICERO, </w:t>
      </w:r>
      <w:r w:rsidRPr="000D1BD6">
        <w:rPr>
          <w:rFonts w:ascii="Times New Roman" w:hAnsi="Times New Roman" w:cs="Times New Roman"/>
          <w:i/>
        </w:rPr>
        <w:t>Mémentos LMD des institutions judiciaires</w:t>
      </w:r>
      <w:r w:rsidRPr="000D1BD6">
        <w:rPr>
          <w:rFonts w:ascii="Times New Roman" w:hAnsi="Times New Roman" w:cs="Times New Roman"/>
        </w:rPr>
        <w:t>, Paris, Gualino, 2014, 5</w:t>
      </w:r>
      <w:r w:rsidRPr="000D1BD6">
        <w:rPr>
          <w:rFonts w:ascii="Times New Roman" w:hAnsi="Times New Roman" w:cs="Times New Roman"/>
          <w:vertAlign w:val="superscript"/>
        </w:rPr>
        <w:t>ème</w:t>
      </w:r>
      <w:r w:rsidRPr="000D1BD6">
        <w:rPr>
          <w:rFonts w:ascii="Times New Roman" w:hAnsi="Times New Roman" w:cs="Times New Roman"/>
        </w:rPr>
        <w:t xml:space="preserve"> éd., p. 148.</w:t>
      </w:r>
    </w:p>
  </w:footnote>
  <w:footnote w:id="344">
    <w:p w:rsidR="00E52745" w:rsidRPr="000D1BD6" w:rsidRDefault="00E52745" w:rsidP="0014135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Caroline NAOME, « L’espace judiciaire européen, le renvoi préjudiciel : questions d’actualité », </w:t>
      </w:r>
      <w:r w:rsidRPr="000D1BD6">
        <w:rPr>
          <w:rFonts w:ascii="Times New Roman" w:hAnsi="Times New Roman" w:cs="Times New Roman"/>
          <w:i/>
        </w:rPr>
        <w:t>in 76</w:t>
      </w:r>
      <w:r w:rsidRPr="000D1BD6">
        <w:rPr>
          <w:rFonts w:ascii="Times New Roman" w:hAnsi="Times New Roman" w:cs="Times New Roman"/>
          <w:i/>
          <w:vertAlign w:val="superscript"/>
        </w:rPr>
        <w:t>ème</w:t>
      </w:r>
      <w:r w:rsidRPr="000D1BD6">
        <w:rPr>
          <w:rFonts w:ascii="Times New Roman" w:hAnsi="Times New Roman" w:cs="Times New Roman"/>
          <w:i/>
        </w:rPr>
        <w:t xml:space="preserve"> congrès de la Confédération Nationale des Avocats</w:t>
      </w:r>
      <w:r w:rsidRPr="000D1BD6">
        <w:rPr>
          <w:rFonts w:ascii="Times New Roman" w:hAnsi="Times New Roman" w:cs="Times New Roman"/>
        </w:rPr>
        <w:t xml:space="preserve">, Communication rendue à Côme le 29 et 30 avril 2011, p. 6. </w:t>
      </w:r>
    </w:p>
  </w:footnote>
  <w:footnote w:id="345">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Entendons par là tout renvoi dont le traitement n’est pas soumis à une procédure d’urgence.</w:t>
      </w:r>
    </w:p>
  </w:footnote>
  <w:footnote w:id="346">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Cité dans Daouda FALL et autres, </w:t>
      </w:r>
      <w:r w:rsidRPr="000D1BD6">
        <w:rPr>
          <w:rFonts w:ascii="Times New Roman" w:hAnsi="Times New Roman" w:cs="Times New Roman"/>
          <w:i/>
        </w:rPr>
        <w:t>op. cit</w:t>
      </w:r>
      <w:r w:rsidRPr="000D1BD6">
        <w:rPr>
          <w:rFonts w:ascii="Times New Roman" w:hAnsi="Times New Roman" w:cs="Times New Roman"/>
        </w:rPr>
        <w:t>., p. 36, note n°4.</w:t>
      </w:r>
    </w:p>
  </w:footnote>
  <w:footnote w:id="347">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Alioune SALL, « Pour une plus grande pédagogie du contentieux communautaire : réflexion sur la mise en œuvre des procédures de collaboration avec les juridictions sous régionales (renvoi préjudiciel et demande d’avis) », </w:t>
      </w:r>
      <w:r w:rsidRPr="000D1BD6">
        <w:rPr>
          <w:rFonts w:ascii="Times New Roman" w:hAnsi="Times New Roman" w:cs="Times New Roman"/>
          <w:i/>
        </w:rPr>
        <w:t>communication aux rencontres inter juridictionnelles</w:t>
      </w:r>
      <w:r w:rsidRPr="000D1BD6">
        <w:rPr>
          <w:rFonts w:ascii="Times New Roman" w:hAnsi="Times New Roman" w:cs="Times New Roman"/>
        </w:rPr>
        <w:t>, p. 2, Dakar, du 04 au 06 mai 2010.</w:t>
      </w:r>
    </w:p>
  </w:footnote>
  <w:footnote w:id="348">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Joe VERHOEVEN, </w:t>
      </w:r>
      <w:r w:rsidRPr="000D1BD6">
        <w:rPr>
          <w:rFonts w:ascii="Times New Roman" w:hAnsi="Times New Roman" w:cs="Times New Roman"/>
          <w:i/>
        </w:rPr>
        <w:t>Droit de la communauté européenne, op. cit</w:t>
      </w:r>
      <w:r w:rsidRPr="000D1BD6">
        <w:rPr>
          <w:rFonts w:ascii="Times New Roman" w:hAnsi="Times New Roman" w:cs="Times New Roman"/>
        </w:rPr>
        <w:t>., p. 323, § 7.</w:t>
      </w:r>
    </w:p>
  </w:footnote>
  <w:footnote w:id="349">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En guise de rappel, on retiendra qu’en droit international général l’Etat peut voir sa responsabilité engagée de deux manières : soit s’il viole lui-même une règle de droit international, dans ce cas il doit y avoir un fait illicite sur le plan du droit international ; soit si l’acte illicite lui est imputable en raison de sa commission par l’un quelconque de ses organes constitutionnels, législatifs, administratifs ou juridictionnels. De même, conformément au principe de l’unité de l’Etat, la responsabilité de l’Etat peut être engagée pour des faits identiques émanant de l’une quelconque de ses subdivisions politiques (commune, département, région, Etat fédéral ou Province dans une structure de type fédéral). Pour plus de détails sur cette notion de responsabilité au plan international, Voir Dominique CARREAU, </w:t>
      </w:r>
      <w:r w:rsidRPr="000D1BD6">
        <w:rPr>
          <w:rFonts w:ascii="Times New Roman" w:hAnsi="Times New Roman" w:cs="Times New Roman"/>
          <w:i/>
        </w:rPr>
        <w:t>Droit international</w:t>
      </w:r>
      <w:r w:rsidRPr="000D1BD6">
        <w:rPr>
          <w:rFonts w:ascii="Times New Roman" w:hAnsi="Times New Roman" w:cs="Times New Roman"/>
        </w:rPr>
        <w:t>, Paris, Pedone, 9</w:t>
      </w:r>
      <w:r w:rsidRPr="000D1BD6">
        <w:rPr>
          <w:rFonts w:ascii="Times New Roman" w:hAnsi="Times New Roman" w:cs="Times New Roman"/>
          <w:vertAlign w:val="superscript"/>
        </w:rPr>
        <w:t>ème</w:t>
      </w:r>
      <w:r w:rsidRPr="000D1BD6">
        <w:rPr>
          <w:rFonts w:ascii="Times New Roman" w:hAnsi="Times New Roman" w:cs="Times New Roman"/>
        </w:rPr>
        <w:t xml:space="preserve"> éd., 2007, pp. 404-417.</w:t>
      </w:r>
    </w:p>
  </w:footnote>
  <w:footnote w:id="350">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Jean-Louis CLERGERIE, </w:t>
      </w:r>
      <w:r w:rsidRPr="000D1BD6">
        <w:rPr>
          <w:rFonts w:ascii="Times New Roman" w:hAnsi="Times New Roman" w:cs="Times New Roman"/>
          <w:i/>
        </w:rPr>
        <w:t>Le renvoi préjudiciel</w:t>
      </w:r>
      <w:r w:rsidRPr="000D1BD6">
        <w:rPr>
          <w:rFonts w:ascii="Times New Roman" w:hAnsi="Times New Roman" w:cs="Times New Roman"/>
        </w:rPr>
        <w:t xml:space="preserve">, Ellipses, </w:t>
      </w:r>
      <w:r w:rsidRPr="000D1BD6">
        <w:rPr>
          <w:rFonts w:ascii="Times New Roman" w:hAnsi="Times New Roman" w:cs="Times New Roman"/>
          <w:i/>
        </w:rPr>
        <w:t>op. cit</w:t>
      </w:r>
      <w:r w:rsidRPr="000D1BD6">
        <w:rPr>
          <w:rFonts w:ascii="Times New Roman" w:hAnsi="Times New Roman" w:cs="Times New Roman"/>
        </w:rPr>
        <w:t>., p. 50.</w:t>
      </w:r>
    </w:p>
  </w:footnote>
  <w:footnote w:id="351">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Cet article indique que la Cour a compétence sur tous les différends qui lui sont soumis et qui ont pour objet « </w:t>
      </w:r>
      <w:r w:rsidRPr="000D1BD6">
        <w:rPr>
          <w:rFonts w:ascii="Times New Roman" w:hAnsi="Times New Roman" w:cs="Times New Roman"/>
          <w:i/>
        </w:rPr>
        <w:t>… l’examen des manquements des Etats membres aux obligations qui leur incombent en vertu du Traité, des conventions et Protocoles, des Règlements, des décisions et des directives</w:t>
      </w:r>
      <w:r w:rsidRPr="000D1BD6">
        <w:rPr>
          <w:rFonts w:ascii="Times New Roman" w:hAnsi="Times New Roman" w:cs="Times New Roman"/>
        </w:rPr>
        <w:t>… ».</w:t>
      </w:r>
    </w:p>
  </w:footnote>
  <w:footnote w:id="352">
    <w:p w:rsidR="00E52745" w:rsidRPr="000D1BD6" w:rsidRDefault="00E52745" w:rsidP="00305752">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Art. 10, point a du Protocole d’Accra de 2005. </w:t>
      </w:r>
    </w:p>
  </w:footnote>
  <w:footnote w:id="353">
    <w:p w:rsidR="00E52745" w:rsidRPr="000D1BD6" w:rsidRDefault="00E52745" w:rsidP="001019F9">
      <w:pPr>
        <w:pStyle w:val="Notedebasdepage"/>
        <w:tabs>
          <w:tab w:val="left" w:pos="4075"/>
        </w:tabs>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L’art. 5 du Protocole sur les organes de contrôle de l’UEMOA indique que : « </w:t>
      </w:r>
      <w:r w:rsidRPr="000D1BD6">
        <w:rPr>
          <w:rFonts w:ascii="Times New Roman" w:hAnsi="Times New Roman" w:cs="Times New Roman"/>
          <w:i/>
        </w:rPr>
        <w:t>la Cour de Justice connait, sur recours de la commission ou de tout Etat membre, des manquements des Etats membres aux obligations qui leur incombent en vertu du Traité de l’Union</w:t>
      </w:r>
      <w:r w:rsidRPr="000D1BD6">
        <w:rPr>
          <w:rFonts w:ascii="Times New Roman" w:hAnsi="Times New Roman" w:cs="Times New Roman"/>
        </w:rPr>
        <w:t> ». L’art. 6 dudit Protocole ajoute que : « </w:t>
      </w:r>
      <w:r w:rsidRPr="000D1BD6">
        <w:rPr>
          <w:rFonts w:ascii="Times New Roman" w:hAnsi="Times New Roman" w:cs="Times New Roman"/>
          <w:i/>
        </w:rPr>
        <w:t>si la Cour de Justice constate qu’un Etat membre a manqué à une des obligations qui lui incombent en vertu du Traité de l’Union,cet Etat est tenu de prendre les mesures que comporte l’exécution des arrêts de la Cour. En cas d’abstention de l’Etat membre dont le manquement a été constaté, la commission a la faculté de saisir la conférence des chefs d’Etats et de gouvernement afin qu’elle invite l’Etat membre à s’exécuter</w:t>
      </w:r>
      <w:r w:rsidRPr="000D1BD6">
        <w:rPr>
          <w:rFonts w:ascii="Times New Roman" w:hAnsi="Times New Roman" w:cs="Times New Roman"/>
        </w:rPr>
        <w:t> ».</w:t>
      </w:r>
      <w:r w:rsidRPr="000D1BD6">
        <w:rPr>
          <w:rFonts w:ascii="Times New Roman" w:hAnsi="Times New Roman" w:cs="Times New Roman"/>
        </w:rPr>
        <w:tab/>
      </w:r>
    </w:p>
  </w:footnote>
  <w:footnote w:id="354">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Art. 13 du Protocole Additionnel n°1 sur les organes de contrôle de l’UEMOA.</w:t>
      </w:r>
    </w:p>
  </w:footnote>
  <w:footnote w:id="355">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Art. 24, § 1 du Traité de Kampala du 5 Septembre 1980. La même ressemblance existe en droit de la CEMAC (article 48 de l’acte additionnel Portant statut de la chambre judiciaire de la CEMAC ; article 22 de la convention régissant la Cour de Justice de la CEMAC) et de l’Union européenne (articles 226, 227 et 228 du Traité de CE).</w:t>
      </w:r>
    </w:p>
  </w:footnote>
  <w:footnote w:id="356">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Formalité par laquelle un plaideur porte son différend devant une juridiction afin que celle-ci examine la recevabilité et le caractère fondé de ses prétentions. Pour plus de détails, Voy., Serge GUINCHARD et Thierry DEBARD, </w:t>
      </w:r>
      <w:r w:rsidRPr="000D1BD6">
        <w:rPr>
          <w:rFonts w:ascii="Times New Roman" w:hAnsi="Times New Roman" w:cs="Times New Roman"/>
          <w:i/>
        </w:rPr>
        <w:t>Lexique des termes juridiques</w:t>
      </w:r>
      <w:r w:rsidRPr="000D1BD6">
        <w:rPr>
          <w:rFonts w:ascii="Times New Roman" w:hAnsi="Times New Roman" w:cs="Times New Roman"/>
        </w:rPr>
        <w:t>, Paris, Dalloz, 2014, 21</w:t>
      </w:r>
      <w:r w:rsidRPr="000D1BD6">
        <w:rPr>
          <w:rFonts w:ascii="Times New Roman" w:hAnsi="Times New Roman" w:cs="Times New Roman"/>
          <w:vertAlign w:val="superscript"/>
        </w:rPr>
        <w:t>ème</w:t>
      </w:r>
      <w:r w:rsidRPr="000D1BD6">
        <w:rPr>
          <w:rFonts w:ascii="Times New Roman" w:hAnsi="Times New Roman" w:cs="Times New Roman"/>
        </w:rPr>
        <w:t xml:space="preserve"> éd., p. 850 ; et Raymond GUILLIEN et Jean VINCENT, </w:t>
      </w:r>
      <w:r w:rsidRPr="000D1BD6">
        <w:rPr>
          <w:rFonts w:ascii="Times New Roman" w:hAnsi="Times New Roman" w:cs="Times New Roman"/>
          <w:i/>
        </w:rPr>
        <w:t>Lexique des termes juridiques</w:t>
      </w:r>
      <w:r w:rsidRPr="000D1BD6">
        <w:rPr>
          <w:rFonts w:ascii="Times New Roman" w:hAnsi="Times New Roman" w:cs="Times New Roman"/>
        </w:rPr>
        <w:t>, Dalloz, 14</w:t>
      </w:r>
      <w:r w:rsidRPr="000D1BD6">
        <w:rPr>
          <w:rFonts w:ascii="Times New Roman" w:hAnsi="Times New Roman" w:cs="Times New Roman"/>
          <w:vertAlign w:val="superscript"/>
        </w:rPr>
        <w:t>ème</w:t>
      </w:r>
      <w:r w:rsidRPr="000D1BD6">
        <w:rPr>
          <w:rFonts w:ascii="Times New Roman" w:hAnsi="Times New Roman" w:cs="Times New Roman"/>
        </w:rPr>
        <w:t xml:space="preserve"> éd., </w:t>
      </w:r>
      <w:r w:rsidRPr="000D1BD6">
        <w:rPr>
          <w:rFonts w:ascii="Times New Roman" w:hAnsi="Times New Roman" w:cs="Times New Roman"/>
          <w:i/>
        </w:rPr>
        <w:t>op. cit</w:t>
      </w:r>
      <w:r w:rsidRPr="000D1BD6">
        <w:rPr>
          <w:rFonts w:ascii="Times New Roman" w:hAnsi="Times New Roman" w:cs="Times New Roman"/>
        </w:rPr>
        <w:t>., p. 523.</w:t>
      </w:r>
    </w:p>
  </w:footnote>
  <w:footnote w:id="357">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Selon les termes de PESCATORE, cité par Jean-Louis CLERGERIE, </w:t>
      </w:r>
      <w:r w:rsidRPr="000D1BD6">
        <w:rPr>
          <w:rFonts w:ascii="Times New Roman" w:hAnsi="Times New Roman" w:cs="Times New Roman"/>
          <w:i/>
        </w:rPr>
        <w:t>Le renvoi préjudiciel,  op. cit</w:t>
      </w:r>
      <w:r w:rsidRPr="000D1BD6">
        <w:rPr>
          <w:rFonts w:ascii="Times New Roman" w:hAnsi="Times New Roman" w:cs="Times New Roman"/>
        </w:rPr>
        <w:t>., p. 9.</w:t>
      </w:r>
    </w:p>
  </w:footnote>
  <w:footnote w:id="358">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Daouda FALL et autres, </w:t>
      </w:r>
      <w:r w:rsidRPr="000D1BD6">
        <w:rPr>
          <w:rFonts w:ascii="Times New Roman" w:hAnsi="Times New Roman" w:cs="Times New Roman"/>
          <w:i/>
        </w:rPr>
        <w:t>op. cit</w:t>
      </w:r>
      <w:r w:rsidRPr="000D1BD6">
        <w:rPr>
          <w:rFonts w:ascii="Times New Roman" w:hAnsi="Times New Roman" w:cs="Times New Roman"/>
        </w:rPr>
        <w:t>., p. 32.</w:t>
      </w:r>
    </w:p>
  </w:footnote>
  <w:footnote w:id="359">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Guy CANIVET, « Le droit communautaire et l’office du juge national », </w:t>
      </w:r>
      <w:r w:rsidRPr="000D1BD6">
        <w:rPr>
          <w:rFonts w:ascii="Times New Roman" w:hAnsi="Times New Roman" w:cs="Times New Roman"/>
          <w:i/>
        </w:rPr>
        <w:t>op. cit</w:t>
      </w:r>
      <w:r w:rsidRPr="000D1BD6">
        <w:rPr>
          <w:rFonts w:ascii="Times New Roman" w:hAnsi="Times New Roman" w:cs="Times New Roman"/>
        </w:rPr>
        <w:t>., pp.133-141.</w:t>
      </w:r>
    </w:p>
  </w:footnote>
  <w:footnote w:id="360">
    <w:p w:rsidR="00E52745" w:rsidRPr="000D1BD6" w:rsidRDefault="00E52745" w:rsidP="00BD227C">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Daouda FALL et autres, </w:t>
      </w:r>
      <w:r w:rsidRPr="000D1BD6">
        <w:rPr>
          <w:rFonts w:ascii="Times New Roman" w:hAnsi="Times New Roman" w:cs="Times New Roman"/>
          <w:i/>
        </w:rPr>
        <w:t>op. cit</w:t>
      </w:r>
      <w:r w:rsidRPr="000D1BD6">
        <w:rPr>
          <w:rFonts w:ascii="Times New Roman" w:hAnsi="Times New Roman" w:cs="Times New Roman"/>
        </w:rPr>
        <w:t>., pp. 34-35.</w:t>
      </w:r>
    </w:p>
  </w:footnote>
  <w:footnote w:id="361">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C.J.C.E., Arrêt du 16 décembre 1992, </w:t>
      </w:r>
      <w:r w:rsidRPr="000D1BD6">
        <w:rPr>
          <w:rFonts w:ascii="Times New Roman" w:hAnsi="Times New Roman" w:cs="Times New Roman"/>
          <w:i/>
        </w:rPr>
        <w:t>Anders</w:t>
      </w:r>
      <w:r w:rsidRPr="000D1BD6">
        <w:rPr>
          <w:rFonts w:ascii="Times New Roman" w:hAnsi="Times New Roman" w:cs="Times New Roman"/>
        </w:rPr>
        <w:t xml:space="preserve">, Aff. C-306/88, cité par Joe VERHOEVEN, </w:t>
      </w:r>
      <w:r w:rsidRPr="000D1BD6">
        <w:rPr>
          <w:rFonts w:ascii="Times New Roman" w:hAnsi="Times New Roman" w:cs="Times New Roman"/>
          <w:i/>
        </w:rPr>
        <w:t>Droit de la communautéeuropéenne</w:t>
      </w:r>
      <w:r w:rsidRPr="000D1BD6">
        <w:rPr>
          <w:rFonts w:ascii="Times New Roman" w:hAnsi="Times New Roman" w:cs="Times New Roman"/>
        </w:rPr>
        <w:t xml:space="preserve">, </w:t>
      </w:r>
      <w:r w:rsidRPr="000D1BD6">
        <w:rPr>
          <w:rFonts w:ascii="Times New Roman" w:hAnsi="Times New Roman" w:cs="Times New Roman"/>
          <w:i/>
        </w:rPr>
        <w:t>op. cit</w:t>
      </w:r>
      <w:r w:rsidRPr="000D1BD6">
        <w:rPr>
          <w:rFonts w:ascii="Times New Roman" w:hAnsi="Times New Roman" w:cs="Times New Roman"/>
        </w:rPr>
        <w:t>., p. 315.</w:t>
      </w:r>
    </w:p>
  </w:footnote>
  <w:footnote w:id="362">
    <w:p w:rsidR="00E52745" w:rsidRPr="000D1BD6" w:rsidRDefault="00E52745" w:rsidP="00476BBD">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Il s’agit d’instaurer une étroite collaboration entre les juges nationaux des Etats membres et la Cour de justice, afin d’écarter tout risque de divergence de jurisprudence, préjudiciable à l’unité de la communauté. </w:t>
      </w:r>
    </w:p>
  </w:footnote>
  <w:footnote w:id="363">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Il s’agit de la méconnaissance du droit CEDEAO à la fois pour les juges nationaux des Etats membres et pour les citoyens de l’espace CEDEAO, et surtout même du laxisme dans la consécration du mécanisme de renvoi préjudiciel par le législateur CEDEAO.</w:t>
      </w:r>
    </w:p>
  </w:footnote>
  <w:footnote w:id="364">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Cité par Alioune SALL, « Pour une plus grande pédagogie du contentieux communautaire : Réflexions sur la mise en œuvre  des procédures de collaboration avec les juridictions sous régionales (Renvoi préjudiciel et demande d’Avis) », </w:t>
      </w:r>
      <w:r w:rsidRPr="000D1BD6">
        <w:rPr>
          <w:rFonts w:ascii="Times New Roman" w:hAnsi="Times New Roman" w:cs="Times New Roman"/>
          <w:i/>
        </w:rPr>
        <w:t>op. cit.</w:t>
      </w:r>
      <w:r w:rsidRPr="000D1BD6">
        <w:rPr>
          <w:rFonts w:ascii="Times New Roman" w:hAnsi="Times New Roman" w:cs="Times New Roman"/>
        </w:rPr>
        <w:t>, p. 2.</w:t>
      </w:r>
    </w:p>
  </w:footnote>
  <w:footnote w:id="365">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Il s’agit du Bénin, du Burkina Faso, de la Cote d’Ivoire, du Mali, du Niger, du Sénégal, du Togo et de la Guinée-Bissau.</w:t>
      </w:r>
    </w:p>
  </w:footnote>
  <w:footnote w:id="366">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Il s’agit de tous les Etats membres de l’UEMOA auxquels s’ajoutent le Cap Vert, la Gambie, le Ghana, la Guinée, le Libéria, le Nigéria, la Sierra Léone et le Maroc depuis le 04 juin 2017.</w:t>
      </w:r>
    </w:p>
  </w:footnote>
  <w:footnote w:id="367">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Véronique CHAPPELART et Peter GOLDSCHMIDT, « Améliorer l’application du droit communautaire : dimensions juridiques et enjeux », </w:t>
      </w:r>
      <w:r w:rsidRPr="000D1BD6">
        <w:rPr>
          <w:rFonts w:ascii="Times New Roman" w:hAnsi="Times New Roman" w:cs="Times New Roman"/>
          <w:i/>
        </w:rPr>
        <w:t>EIPASCOPE</w:t>
      </w:r>
      <w:r w:rsidRPr="000D1BD6">
        <w:rPr>
          <w:rFonts w:ascii="Times New Roman" w:hAnsi="Times New Roman" w:cs="Times New Roman"/>
        </w:rPr>
        <w:t>, Numéro Spécial 25</w:t>
      </w:r>
      <w:r w:rsidRPr="000D1BD6">
        <w:rPr>
          <w:rFonts w:ascii="Times New Roman" w:hAnsi="Times New Roman" w:cs="Times New Roman"/>
          <w:vertAlign w:val="superscript"/>
        </w:rPr>
        <w:t>ème</w:t>
      </w:r>
      <w:r w:rsidRPr="000D1BD6">
        <w:rPr>
          <w:rFonts w:ascii="Times New Roman" w:hAnsi="Times New Roman" w:cs="Times New Roman"/>
        </w:rPr>
        <w:t xml:space="preserve">  anniversaires, p. 38.</w:t>
      </w:r>
    </w:p>
  </w:footnote>
  <w:footnote w:id="368">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Cet article correspond aux anciens articles 177 du Traité C.E.E., 41 du Traité C.E.C.A., 150 du Traité C.E.E.A., et 234 du Traité C.E. Toutefois, contrairement aux articles 267, 177, 150, 234 ; l’art. 41 du Traité C.E.C.A  s’est borné seulement à l’institution d’un renvoi en appréciation de validité. Il n’a donc pas prévu le renvoi en interprétation de validité d’un acte communautaire. </w:t>
      </w:r>
    </w:p>
  </w:footnote>
  <w:footnote w:id="369">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C’est à l’occasion de cette affaire que s’est posée pour la première fois la question de l’applicabilité directe et particulièrement celle de l’effet direct du droit communautaire.</w:t>
      </w:r>
    </w:p>
  </w:footnote>
  <w:footnote w:id="370">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Cette affaire est à l’origine de la consécration du principe de primauté du droit communautaire dans ses rapports avec les droits nationaux des Etats membres.  </w:t>
      </w:r>
    </w:p>
  </w:footnote>
  <w:footnote w:id="371">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C’est la solution de cet arrêt qui délie les juridictions nationales suprêmes de leur obligation de renvoi quand « </w:t>
      </w:r>
      <w:r w:rsidRPr="000D1BD6">
        <w:rPr>
          <w:rFonts w:ascii="Times New Roman" w:hAnsi="Times New Roman" w:cs="Times New Roman"/>
          <w:i/>
        </w:rPr>
        <w:t>la question soulevée est matériellement identique à une question ayant fait l’objet d’une décision à titre préjudiciel dans une espèce analogue</w:t>
      </w:r>
      <w:r w:rsidRPr="000D1BD6">
        <w:rPr>
          <w:rFonts w:ascii="Times New Roman" w:hAnsi="Times New Roman" w:cs="Times New Roman"/>
        </w:rPr>
        <w:t> ».</w:t>
      </w:r>
    </w:p>
  </w:footnote>
  <w:footnote w:id="372">
    <w:p w:rsidR="00E52745" w:rsidRPr="000D1BD6" w:rsidRDefault="00E52745" w:rsidP="00B647AA">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Cet arrêt indique les conséquences du principe de la primauté dans l’ordre juridique interne des Etats membres et particulièrement il pose le problème de la primauté entre un règlement communautaire existant et une loi nationale postérieure.</w:t>
      </w:r>
    </w:p>
  </w:footnote>
  <w:footnote w:id="373">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Daouda FALL et autres, </w:t>
      </w:r>
      <w:r w:rsidRPr="000D1BD6">
        <w:rPr>
          <w:rFonts w:ascii="Times New Roman" w:hAnsi="Times New Roman" w:cs="Times New Roman"/>
          <w:i/>
        </w:rPr>
        <w:t>op. cit.</w:t>
      </w:r>
      <w:r w:rsidRPr="000D1BD6">
        <w:rPr>
          <w:rFonts w:ascii="Times New Roman" w:hAnsi="Times New Roman" w:cs="Times New Roman"/>
        </w:rPr>
        <w:t>, p. 11, note n°4.</w:t>
      </w:r>
    </w:p>
  </w:footnote>
  <w:footnote w:id="374">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Oumar TRAORE,  </w:t>
      </w:r>
      <w:r w:rsidRPr="000D1BD6">
        <w:rPr>
          <w:rFonts w:ascii="Times New Roman" w:hAnsi="Times New Roman" w:cs="Times New Roman"/>
          <w:i/>
        </w:rPr>
        <w:t>L’émergence du contentieux communautaire en Afrique de l’Ouest</w:t>
      </w:r>
      <w:r w:rsidRPr="000D1BD6">
        <w:rPr>
          <w:rFonts w:ascii="Times New Roman" w:hAnsi="Times New Roman" w:cs="Times New Roman"/>
        </w:rPr>
        <w:t xml:space="preserve">, </w:t>
      </w:r>
      <w:r w:rsidRPr="000D1BD6">
        <w:rPr>
          <w:rFonts w:ascii="Times New Roman" w:hAnsi="Times New Roman" w:cs="Times New Roman"/>
          <w:i/>
        </w:rPr>
        <w:t>op. cit</w:t>
      </w:r>
      <w:r w:rsidRPr="000D1BD6">
        <w:rPr>
          <w:rFonts w:ascii="Times New Roman" w:hAnsi="Times New Roman" w:cs="Times New Roman"/>
        </w:rPr>
        <w:t>., p. 65 ; voir aussi Valérie Flore YAMEOGO,  </w:t>
      </w:r>
      <w:r w:rsidRPr="000D1BD6">
        <w:rPr>
          <w:rFonts w:ascii="Times New Roman" w:hAnsi="Times New Roman" w:cs="Times New Roman"/>
          <w:i/>
        </w:rPr>
        <w:t>La CEDEAO et les droits de l’homme</w:t>
      </w:r>
      <w:r w:rsidRPr="000D1BD6">
        <w:rPr>
          <w:rFonts w:ascii="Times New Roman" w:hAnsi="Times New Roman" w:cs="Times New Roman"/>
        </w:rPr>
        <w:t xml:space="preserve">, </w:t>
      </w:r>
      <w:r w:rsidRPr="000D1BD6">
        <w:rPr>
          <w:rFonts w:ascii="Times New Roman" w:hAnsi="Times New Roman" w:cs="Times New Roman"/>
          <w:i/>
        </w:rPr>
        <w:t>op. cit</w:t>
      </w:r>
      <w:r w:rsidRPr="000D1BD6">
        <w:rPr>
          <w:rFonts w:ascii="Times New Roman" w:hAnsi="Times New Roman" w:cs="Times New Roman"/>
        </w:rPr>
        <w:t>., p. 2.</w:t>
      </w:r>
    </w:p>
  </w:footnote>
  <w:footnote w:id="375">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Laurence BURGORGUE-LARSEN, « Le fait régional dans la juridictionnalisation du droit international », Colloque de Lille, SFDI, Paris, A. Pedone, 2003, p. 235.</w:t>
      </w:r>
    </w:p>
  </w:footnote>
  <w:footnote w:id="376">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Créée par le Protocole de fusion, également appelé Protocole de Sharm El sheik (Egypte) du 1</w:t>
      </w:r>
      <w:r w:rsidRPr="000D1BD6">
        <w:rPr>
          <w:rFonts w:ascii="Times New Roman" w:hAnsi="Times New Roman" w:cs="Times New Roman"/>
          <w:vertAlign w:val="superscript"/>
        </w:rPr>
        <w:t>er</w:t>
      </w:r>
      <w:r w:rsidRPr="000D1BD6">
        <w:rPr>
          <w:rFonts w:ascii="Times New Roman" w:hAnsi="Times New Roman" w:cs="Times New Roman"/>
        </w:rPr>
        <w:t xml:space="preserve"> juillet 2008, la Cour africaine de justice et des droits de l’homme (CAJDH) représente l’organe judiciaire principal de l’Union africaine. Pour plus de détails sur le processus de la création de cette Cour, consulter Abdoulaye SOMA, « Le jeu des protocoles dans le processus juridique de construction d’une Cour africaine de protection des droits de l’homme », </w:t>
      </w:r>
      <w:r w:rsidRPr="000D1BD6">
        <w:rPr>
          <w:rFonts w:ascii="Times New Roman" w:hAnsi="Times New Roman" w:cs="Times New Roman"/>
          <w:i/>
        </w:rPr>
        <w:t>op. cit.,</w:t>
      </w:r>
      <w:r w:rsidRPr="000D1BD6">
        <w:rPr>
          <w:rFonts w:ascii="Times New Roman" w:hAnsi="Times New Roman" w:cs="Times New Roman"/>
        </w:rPr>
        <w:t xml:space="preserve"> pp. 10-14. </w:t>
      </w:r>
    </w:p>
  </w:footnote>
  <w:footnote w:id="377">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Valérie SOMA/KABORE, « L’évolution du statut de l’individu en droit international », </w:t>
      </w:r>
      <w:r w:rsidRPr="000D1BD6">
        <w:rPr>
          <w:rFonts w:ascii="Times New Roman" w:hAnsi="Times New Roman" w:cs="Times New Roman"/>
          <w:i/>
        </w:rPr>
        <w:t>Revue CAMES/SJP</w:t>
      </w:r>
      <w:r w:rsidRPr="000D1BD6">
        <w:rPr>
          <w:rFonts w:ascii="Times New Roman" w:hAnsi="Times New Roman" w:cs="Times New Roman"/>
        </w:rPr>
        <w:t>, 2015 (1</w:t>
      </w:r>
      <w:r w:rsidRPr="000D1BD6">
        <w:rPr>
          <w:rFonts w:ascii="Times New Roman" w:hAnsi="Times New Roman" w:cs="Times New Roman"/>
          <w:vertAlign w:val="superscript"/>
        </w:rPr>
        <w:t>er</w:t>
      </w:r>
      <w:r>
        <w:rPr>
          <w:rFonts w:ascii="Times New Roman" w:hAnsi="Times New Roman" w:cs="Times New Roman"/>
        </w:rPr>
        <w:t xml:space="preserve"> semestre), n°001, p. 17 ; voir dans le même sens Léon Dié KASSABO, « Les nouvelles tendances de la protection diplomatique de l’individu en droit international », </w:t>
      </w:r>
      <w:r w:rsidR="00E97FED" w:rsidRPr="00E97FED">
        <w:rPr>
          <w:rFonts w:ascii="Times New Roman" w:hAnsi="Times New Roman" w:cs="Times New Roman"/>
          <w:i/>
        </w:rPr>
        <w:t>in</w:t>
      </w:r>
      <w:r w:rsidRPr="005A720D">
        <w:rPr>
          <w:rFonts w:ascii="Times New Roman" w:hAnsi="Times New Roman" w:cs="Times New Roman"/>
          <w:i/>
        </w:rPr>
        <w:t>Revue du CAMES/SJP</w:t>
      </w:r>
      <w:r>
        <w:rPr>
          <w:rFonts w:ascii="Times New Roman" w:hAnsi="Times New Roman" w:cs="Times New Roman"/>
        </w:rPr>
        <w:t>, 2015 (1</w:t>
      </w:r>
      <w:r w:rsidRPr="005A720D">
        <w:rPr>
          <w:rFonts w:ascii="Times New Roman" w:hAnsi="Times New Roman" w:cs="Times New Roman"/>
          <w:vertAlign w:val="superscript"/>
        </w:rPr>
        <w:t>er</w:t>
      </w:r>
      <w:r>
        <w:rPr>
          <w:rFonts w:ascii="Times New Roman" w:hAnsi="Times New Roman" w:cs="Times New Roman"/>
        </w:rPr>
        <w:t xml:space="preserve"> semestre), n°001, p. 42. </w:t>
      </w:r>
    </w:p>
  </w:footnote>
  <w:footnote w:id="378">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Certes, les parties peuvent être à l’origine du renvoi ; mais la décision finale du recours appartient exclusivement au juge national. Il peut refuser de renvoyer malgré les demandes des parties en litige. Celles-ci ne peuvent pas le contraindre, ni saisir directement la Cour de Justice de la question préjudicielle, ni encore modifier le contenu de la décision du renvoi.</w:t>
      </w:r>
    </w:p>
  </w:footnote>
  <w:footnote w:id="379">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Voir l’art. 10, d du Protocole d’Accra du 19 Janvier 2005.</w:t>
      </w:r>
    </w:p>
  </w:footnote>
  <w:footnote w:id="380">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Julie KAPRIELIAN, « Le renvoi préjudiciel en droit de l’Union : un mécanisme assurant la protection juridictionnelle effective des individus ? », </w:t>
      </w:r>
      <w:r w:rsidRPr="000D1BD6">
        <w:rPr>
          <w:rFonts w:ascii="Times New Roman" w:hAnsi="Times New Roman" w:cs="Times New Roman"/>
          <w:i/>
        </w:rPr>
        <w:t>op. cit</w:t>
      </w:r>
      <w:r w:rsidRPr="000D1BD6">
        <w:rPr>
          <w:rFonts w:ascii="Times New Roman" w:hAnsi="Times New Roman" w:cs="Times New Roman"/>
        </w:rPr>
        <w:t>., p. 77.</w:t>
      </w:r>
    </w:p>
  </w:footnote>
  <w:footnote w:id="381">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Idrissa SOW,  </w:t>
      </w:r>
      <w:r w:rsidRPr="000D1BD6">
        <w:rPr>
          <w:rFonts w:ascii="Times New Roman" w:hAnsi="Times New Roman" w:cs="Times New Roman"/>
          <w:i/>
        </w:rPr>
        <w:t>La protection de l’ordre juridique sous-régional par les Cours de Justice : contribution à l’étude de la fonction judiciaire dans les organisations Ouest-africaines d’intégration</w:t>
      </w:r>
      <w:r w:rsidRPr="000D1BD6">
        <w:rPr>
          <w:rFonts w:ascii="Times New Roman" w:hAnsi="Times New Roman" w:cs="Times New Roman"/>
        </w:rPr>
        <w:t>, Thèse de doctorat, Université Montesquieu-Bordeaux IV, 2013, p. 268.</w:t>
      </w:r>
    </w:p>
  </w:footnote>
  <w:footnote w:id="382">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C.J. /C.E.D.E.A.O., Arrêt du 27 octobre 2008, </w:t>
      </w:r>
      <w:r w:rsidRPr="000D1BD6">
        <w:rPr>
          <w:rFonts w:ascii="Times New Roman" w:hAnsi="Times New Roman" w:cs="Times New Roman"/>
          <w:i/>
        </w:rPr>
        <w:t>Dame Hadijatou Mani Koraou c. /République du Niger</w:t>
      </w:r>
      <w:r w:rsidRPr="000D1BD6">
        <w:rPr>
          <w:rFonts w:ascii="Times New Roman" w:hAnsi="Times New Roman" w:cs="Times New Roman"/>
        </w:rPr>
        <w:t>, Aff. 06/08, point 40.</w:t>
      </w:r>
    </w:p>
  </w:footnote>
  <w:footnote w:id="383">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C’est l’hypothèse où le juge national décide de recourir à l’utilisation de la théorie de l’acte clair ou à l’utilisation de la règle du précédent jurisprudentiel. C’est également le cas où la Cour décide de choisir la question à laquelle répondre parmi une pluralité des questions qui lui est posée.</w:t>
      </w:r>
    </w:p>
  </w:footnote>
  <w:footnote w:id="384">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C’est le cas où le juge national refuse de renvoyer à la Cour de Justice une question préjudicielle sollicitée par les parties en litige et sans raison valable. Il en est aussi du cas où le juge national à l’origine du renvoi refuse de prendre en considération l’arrêt préjudiciel pour la suite du règlement du litige national et sans aucune raison valable ; et du cas où la Cour de Justice communautaire se trouve dessaisie de la demande préjudicielle par la juridiction de renvoi ou encore le cas où le juge communautaire transforme le contenu de la question en usant son pouvoir de reformulation. Dans ce dernier cas, le risque qu’il y a est que la Cour procède à l’interprétation de la question alors que c’est la validité qui lui est demandée et vice-versa.</w:t>
      </w:r>
    </w:p>
  </w:footnote>
  <w:footnote w:id="385">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Voir </w:t>
      </w:r>
      <w:r w:rsidRPr="000D1BD6">
        <w:rPr>
          <w:rFonts w:ascii="Times New Roman" w:hAnsi="Times New Roman" w:cs="Times New Roman"/>
          <w:i/>
        </w:rPr>
        <w:t>supra</w:t>
      </w:r>
      <w:r w:rsidRPr="000D1BD6">
        <w:rPr>
          <w:rFonts w:ascii="Times New Roman" w:hAnsi="Times New Roman" w:cs="Times New Roman"/>
        </w:rPr>
        <w:t>, Titre I, chapitre I, section I, § 1.</w:t>
      </w:r>
    </w:p>
  </w:footnote>
  <w:footnote w:id="386">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Voir </w:t>
      </w:r>
      <w:r w:rsidRPr="000D1BD6">
        <w:rPr>
          <w:rFonts w:ascii="Times New Roman" w:hAnsi="Times New Roman" w:cs="Times New Roman"/>
          <w:i/>
        </w:rPr>
        <w:t>supra</w:t>
      </w:r>
      <w:r w:rsidRPr="000D1BD6">
        <w:rPr>
          <w:rFonts w:ascii="Times New Roman" w:hAnsi="Times New Roman" w:cs="Times New Roman"/>
        </w:rPr>
        <w:t>, Titre I, chapitre I, section I, § 2.</w:t>
      </w:r>
    </w:p>
  </w:footnote>
  <w:footnote w:id="387">
    <w:p w:rsidR="00E52745" w:rsidRPr="000D1BD6" w:rsidRDefault="00E52745" w:rsidP="001019F9">
      <w:pPr>
        <w:pStyle w:val="Notedebasdepage"/>
        <w:jc w:val="both"/>
        <w:rPr>
          <w:rFonts w:ascii="Times New Roman" w:hAnsi="Times New Roman" w:cs="Times New Roman"/>
        </w:rPr>
      </w:pPr>
      <w:r w:rsidRPr="000D1BD6">
        <w:rPr>
          <w:rStyle w:val="Appelnotedebasdep"/>
          <w:rFonts w:ascii="Times New Roman" w:hAnsi="Times New Roman" w:cs="Times New Roman"/>
        </w:rPr>
        <w:footnoteRef/>
      </w:r>
      <w:r w:rsidRPr="000D1BD6">
        <w:rPr>
          <w:rFonts w:ascii="Times New Roman" w:hAnsi="Times New Roman" w:cs="Times New Roman"/>
        </w:rPr>
        <w:t xml:space="preserve"> Voir </w:t>
      </w:r>
      <w:r w:rsidRPr="000D1BD6">
        <w:rPr>
          <w:rFonts w:ascii="Times New Roman" w:hAnsi="Times New Roman" w:cs="Times New Roman"/>
          <w:i/>
        </w:rPr>
        <w:t>supra</w:t>
      </w:r>
      <w:r w:rsidRPr="000D1BD6">
        <w:rPr>
          <w:rFonts w:ascii="Times New Roman" w:hAnsi="Times New Roman" w:cs="Times New Roman"/>
        </w:rPr>
        <w:t>, Titre I, Chapitre II, section 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7F"/>
    <w:multiLevelType w:val="hybridMultilevel"/>
    <w:tmpl w:val="4FCCA9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A13B86"/>
    <w:multiLevelType w:val="hybridMultilevel"/>
    <w:tmpl w:val="620CF7A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1841F9E"/>
    <w:multiLevelType w:val="hybridMultilevel"/>
    <w:tmpl w:val="EC3A1768"/>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197110"/>
    <w:multiLevelType w:val="hybridMultilevel"/>
    <w:tmpl w:val="3E92C29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46F149F"/>
    <w:multiLevelType w:val="hybridMultilevel"/>
    <w:tmpl w:val="14E2914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47929BC"/>
    <w:multiLevelType w:val="hybridMultilevel"/>
    <w:tmpl w:val="0A5604A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9172A5F"/>
    <w:multiLevelType w:val="hybridMultilevel"/>
    <w:tmpl w:val="9894D69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93948AC"/>
    <w:multiLevelType w:val="hybridMultilevel"/>
    <w:tmpl w:val="6D4C9956"/>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nsid w:val="1DEA4AEB"/>
    <w:multiLevelType w:val="hybridMultilevel"/>
    <w:tmpl w:val="F140B968"/>
    <w:lvl w:ilvl="0" w:tplc="58BCA46A">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21C77EA8"/>
    <w:multiLevelType w:val="hybridMultilevel"/>
    <w:tmpl w:val="C2C23698"/>
    <w:lvl w:ilvl="0" w:tplc="12AA8B4E">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23982C3C"/>
    <w:multiLevelType w:val="hybridMultilevel"/>
    <w:tmpl w:val="27C662A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3BB7E23"/>
    <w:multiLevelType w:val="hybridMultilevel"/>
    <w:tmpl w:val="9710C1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68735E7"/>
    <w:multiLevelType w:val="hybridMultilevel"/>
    <w:tmpl w:val="EB081FA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81B3E3F"/>
    <w:multiLevelType w:val="hybridMultilevel"/>
    <w:tmpl w:val="3B1CF0D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8DF21FD"/>
    <w:multiLevelType w:val="hybridMultilevel"/>
    <w:tmpl w:val="4FE472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8FF6CED"/>
    <w:multiLevelType w:val="hybridMultilevel"/>
    <w:tmpl w:val="3ED4BB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9D220E3"/>
    <w:multiLevelType w:val="hybridMultilevel"/>
    <w:tmpl w:val="782CAE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CB726AA"/>
    <w:multiLevelType w:val="hybridMultilevel"/>
    <w:tmpl w:val="161A5A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0A03913"/>
    <w:multiLevelType w:val="hybridMultilevel"/>
    <w:tmpl w:val="1E4EED7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0B663C7"/>
    <w:multiLevelType w:val="hybridMultilevel"/>
    <w:tmpl w:val="51CEBCB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14E280C"/>
    <w:multiLevelType w:val="hybridMultilevel"/>
    <w:tmpl w:val="80223B00"/>
    <w:lvl w:ilvl="0" w:tplc="D53A9A0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38F33B8"/>
    <w:multiLevelType w:val="hybridMultilevel"/>
    <w:tmpl w:val="2BD4CFD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5AE084B"/>
    <w:multiLevelType w:val="hybridMultilevel"/>
    <w:tmpl w:val="8496E5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7B56553"/>
    <w:multiLevelType w:val="hybridMultilevel"/>
    <w:tmpl w:val="B73296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86F4850"/>
    <w:multiLevelType w:val="hybridMultilevel"/>
    <w:tmpl w:val="F7C268D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nsid w:val="3F0A171F"/>
    <w:multiLevelType w:val="hybridMultilevel"/>
    <w:tmpl w:val="7D8E4414"/>
    <w:lvl w:ilvl="0" w:tplc="040C000B">
      <w:start w:val="1"/>
      <w:numFmt w:val="bullet"/>
      <w:lvlText w:val=""/>
      <w:lvlJc w:val="left"/>
      <w:pPr>
        <w:ind w:left="1698" w:hanging="360"/>
      </w:pPr>
      <w:rPr>
        <w:rFonts w:ascii="Wingdings" w:hAnsi="Wingdings" w:hint="default"/>
      </w:rPr>
    </w:lvl>
    <w:lvl w:ilvl="1" w:tplc="040C0003" w:tentative="1">
      <w:start w:val="1"/>
      <w:numFmt w:val="bullet"/>
      <w:lvlText w:val="o"/>
      <w:lvlJc w:val="left"/>
      <w:pPr>
        <w:ind w:left="2418" w:hanging="360"/>
      </w:pPr>
      <w:rPr>
        <w:rFonts w:ascii="Courier New" w:hAnsi="Courier New" w:cs="Courier New" w:hint="default"/>
      </w:rPr>
    </w:lvl>
    <w:lvl w:ilvl="2" w:tplc="040C0005" w:tentative="1">
      <w:start w:val="1"/>
      <w:numFmt w:val="bullet"/>
      <w:lvlText w:val=""/>
      <w:lvlJc w:val="left"/>
      <w:pPr>
        <w:ind w:left="3138" w:hanging="360"/>
      </w:pPr>
      <w:rPr>
        <w:rFonts w:ascii="Wingdings" w:hAnsi="Wingdings" w:hint="default"/>
      </w:rPr>
    </w:lvl>
    <w:lvl w:ilvl="3" w:tplc="040C0001" w:tentative="1">
      <w:start w:val="1"/>
      <w:numFmt w:val="bullet"/>
      <w:lvlText w:val=""/>
      <w:lvlJc w:val="left"/>
      <w:pPr>
        <w:ind w:left="3858" w:hanging="360"/>
      </w:pPr>
      <w:rPr>
        <w:rFonts w:ascii="Symbol" w:hAnsi="Symbol" w:hint="default"/>
      </w:rPr>
    </w:lvl>
    <w:lvl w:ilvl="4" w:tplc="040C0003" w:tentative="1">
      <w:start w:val="1"/>
      <w:numFmt w:val="bullet"/>
      <w:lvlText w:val="o"/>
      <w:lvlJc w:val="left"/>
      <w:pPr>
        <w:ind w:left="4578" w:hanging="360"/>
      </w:pPr>
      <w:rPr>
        <w:rFonts w:ascii="Courier New" w:hAnsi="Courier New" w:cs="Courier New" w:hint="default"/>
      </w:rPr>
    </w:lvl>
    <w:lvl w:ilvl="5" w:tplc="040C0005" w:tentative="1">
      <w:start w:val="1"/>
      <w:numFmt w:val="bullet"/>
      <w:lvlText w:val=""/>
      <w:lvlJc w:val="left"/>
      <w:pPr>
        <w:ind w:left="5298" w:hanging="360"/>
      </w:pPr>
      <w:rPr>
        <w:rFonts w:ascii="Wingdings" w:hAnsi="Wingdings" w:hint="default"/>
      </w:rPr>
    </w:lvl>
    <w:lvl w:ilvl="6" w:tplc="040C0001" w:tentative="1">
      <w:start w:val="1"/>
      <w:numFmt w:val="bullet"/>
      <w:lvlText w:val=""/>
      <w:lvlJc w:val="left"/>
      <w:pPr>
        <w:ind w:left="6018" w:hanging="360"/>
      </w:pPr>
      <w:rPr>
        <w:rFonts w:ascii="Symbol" w:hAnsi="Symbol" w:hint="default"/>
      </w:rPr>
    </w:lvl>
    <w:lvl w:ilvl="7" w:tplc="040C0003" w:tentative="1">
      <w:start w:val="1"/>
      <w:numFmt w:val="bullet"/>
      <w:lvlText w:val="o"/>
      <w:lvlJc w:val="left"/>
      <w:pPr>
        <w:ind w:left="6738" w:hanging="360"/>
      </w:pPr>
      <w:rPr>
        <w:rFonts w:ascii="Courier New" w:hAnsi="Courier New" w:cs="Courier New" w:hint="default"/>
      </w:rPr>
    </w:lvl>
    <w:lvl w:ilvl="8" w:tplc="040C0005" w:tentative="1">
      <w:start w:val="1"/>
      <w:numFmt w:val="bullet"/>
      <w:lvlText w:val=""/>
      <w:lvlJc w:val="left"/>
      <w:pPr>
        <w:ind w:left="7458" w:hanging="360"/>
      </w:pPr>
      <w:rPr>
        <w:rFonts w:ascii="Wingdings" w:hAnsi="Wingdings" w:hint="default"/>
      </w:rPr>
    </w:lvl>
  </w:abstractNum>
  <w:abstractNum w:abstractNumId="26">
    <w:nsid w:val="41F9259E"/>
    <w:multiLevelType w:val="hybridMultilevel"/>
    <w:tmpl w:val="0B02BC4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CF213C8"/>
    <w:multiLevelType w:val="hybridMultilevel"/>
    <w:tmpl w:val="A548469C"/>
    <w:lvl w:ilvl="0" w:tplc="D882ACDA">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8">
    <w:nsid w:val="4DE16DB0"/>
    <w:multiLevelType w:val="hybridMultilevel"/>
    <w:tmpl w:val="D2C2EF7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0620966"/>
    <w:multiLevelType w:val="hybridMultilevel"/>
    <w:tmpl w:val="0C5EDFBE"/>
    <w:lvl w:ilvl="0" w:tplc="73C85846">
      <w:start w:val="1"/>
      <w:numFmt w:val="upperLetter"/>
      <w:lvlText w:val="%1."/>
      <w:lvlJc w:val="left"/>
      <w:pPr>
        <w:ind w:left="600" w:hanging="360"/>
      </w:pPr>
      <w:rPr>
        <w:rFonts w:hint="default"/>
      </w:rPr>
    </w:lvl>
    <w:lvl w:ilvl="1" w:tplc="040C0019" w:tentative="1">
      <w:start w:val="1"/>
      <w:numFmt w:val="lowerLetter"/>
      <w:lvlText w:val="%2."/>
      <w:lvlJc w:val="left"/>
      <w:pPr>
        <w:ind w:left="1320" w:hanging="360"/>
      </w:pPr>
    </w:lvl>
    <w:lvl w:ilvl="2" w:tplc="040C001B" w:tentative="1">
      <w:start w:val="1"/>
      <w:numFmt w:val="lowerRoman"/>
      <w:lvlText w:val="%3."/>
      <w:lvlJc w:val="right"/>
      <w:pPr>
        <w:ind w:left="2040" w:hanging="180"/>
      </w:pPr>
    </w:lvl>
    <w:lvl w:ilvl="3" w:tplc="040C000F" w:tentative="1">
      <w:start w:val="1"/>
      <w:numFmt w:val="decimal"/>
      <w:lvlText w:val="%4."/>
      <w:lvlJc w:val="left"/>
      <w:pPr>
        <w:ind w:left="2760" w:hanging="360"/>
      </w:pPr>
    </w:lvl>
    <w:lvl w:ilvl="4" w:tplc="040C0019" w:tentative="1">
      <w:start w:val="1"/>
      <w:numFmt w:val="lowerLetter"/>
      <w:lvlText w:val="%5."/>
      <w:lvlJc w:val="left"/>
      <w:pPr>
        <w:ind w:left="3480" w:hanging="360"/>
      </w:pPr>
    </w:lvl>
    <w:lvl w:ilvl="5" w:tplc="040C001B" w:tentative="1">
      <w:start w:val="1"/>
      <w:numFmt w:val="lowerRoman"/>
      <w:lvlText w:val="%6."/>
      <w:lvlJc w:val="right"/>
      <w:pPr>
        <w:ind w:left="4200" w:hanging="180"/>
      </w:pPr>
    </w:lvl>
    <w:lvl w:ilvl="6" w:tplc="040C000F" w:tentative="1">
      <w:start w:val="1"/>
      <w:numFmt w:val="decimal"/>
      <w:lvlText w:val="%7."/>
      <w:lvlJc w:val="left"/>
      <w:pPr>
        <w:ind w:left="4920" w:hanging="360"/>
      </w:pPr>
    </w:lvl>
    <w:lvl w:ilvl="7" w:tplc="040C0019" w:tentative="1">
      <w:start w:val="1"/>
      <w:numFmt w:val="lowerLetter"/>
      <w:lvlText w:val="%8."/>
      <w:lvlJc w:val="left"/>
      <w:pPr>
        <w:ind w:left="5640" w:hanging="360"/>
      </w:pPr>
    </w:lvl>
    <w:lvl w:ilvl="8" w:tplc="040C001B" w:tentative="1">
      <w:start w:val="1"/>
      <w:numFmt w:val="lowerRoman"/>
      <w:lvlText w:val="%9."/>
      <w:lvlJc w:val="right"/>
      <w:pPr>
        <w:ind w:left="6360" w:hanging="180"/>
      </w:pPr>
    </w:lvl>
  </w:abstractNum>
  <w:abstractNum w:abstractNumId="30">
    <w:nsid w:val="50D95341"/>
    <w:multiLevelType w:val="hybridMultilevel"/>
    <w:tmpl w:val="43DA63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28B5A80"/>
    <w:multiLevelType w:val="hybridMultilevel"/>
    <w:tmpl w:val="59EE83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51D0527"/>
    <w:multiLevelType w:val="hybridMultilevel"/>
    <w:tmpl w:val="2AC2A820"/>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71E5E78"/>
    <w:multiLevelType w:val="hybridMultilevel"/>
    <w:tmpl w:val="6F048E22"/>
    <w:lvl w:ilvl="0" w:tplc="BE262AE8">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nsid w:val="5B7B3C05"/>
    <w:multiLevelType w:val="hybridMultilevel"/>
    <w:tmpl w:val="F67A69CA"/>
    <w:lvl w:ilvl="0" w:tplc="81DA25E4">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5">
    <w:nsid w:val="606248A5"/>
    <w:multiLevelType w:val="hybridMultilevel"/>
    <w:tmpl w:val="35F8B9DA"/>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6">
    <w:nsid w:val="61AA1204"/>
    <w:multiLevelType w:val="hybridMultilevel"/>
    <w:tmpl w:val="A83A254C"/>
    <w:lvl w:ilvl="0" w:tplc="040C000B">
      <w:start w:val="1"/>
      <w:numFmt w:val="bullet"/>
      <w:lvlText w:val=""/>
      <w:lvlJc w:val="left"/>
      <w:pPr>
        <w:ind w:left="1617" w:hanging="360"/>
      </w:pPr>
      <w:rPr>
        <w:rFonts w:ascii="Wingdings" w:hAnsi="Wingdings" w:hint="default"/>
      </w:rPr>
    </w:lvl>
    <w:lvl w:ilvl="1" w:tplc="040C0003" w:tentative="1">
      <w:start w:val="1"/>
      <w:numFmt w:val="bullet"/>
      <w:lvlText w:val="o"/>
      <w:lvlJc w:val="left"/>
      <w:pPr>
        <w:ind w:left="2337" w:hanging="360"/>
      </w:pPr>
      <w:rPr>
        <w:rFonts w:ascii="Courier New" w:hAnsi="Courier New" w:cs="Courier New" w:hint="default"/>
      </w:rPr>
    </w:lvl>
    <w:lvl w:ilvl="2" w:tplc="040C0005" w:tentative="1">
      <w:start w:val="1"/>
      <w:numFmt w:val="bullet"/>
      <w:lvlText w:val=""/>
      <w:lvlJc w:val="left"/>
      <w:pPr>
        <w:ind w:left="3057" w:hanging="360"/>
      </w:pPr>
      <w:rPr>
        <w:rFonts w:ascii="Wingdings" w:hAnsi="Wingdings" w:hint="default"/>
      </w:rPr>
    </w:lvl>
    <w:lvl w:ilvl="3" w:tplc="040C0001" w:tentative="1">
      <w:start w:val="1"/>
      <w:numFmt w:val="bullet"/>
      <w:lvlText w:val=""/>
      <w:lvlJc w:val="left"/>
      <w:pPr>
        <w:ind w:left="3777" w:hanging="360"/>
      </w:pPr>
      <w:rPr>
        <w:rFonts w:ascii="Symbol" w:hAnsi="Symbol" w:hint="default"/>
      </w:rPr>
    </w:lvl>
    <w:lvl w:ilvl="4" w:tplc="040C0003" w:tentative="1">
      <w:start w:val="1"/>
      <w:numFmt w:val="bullet"/>
      <w:lvlText w:val="o"/>
      <w:lvlJc w:val="left"/>
      <w:pPr>
        <w:ind w:left="4497" w:hanging="360"/>
      </w:pPr>
      <w:rPr>
        <w:rFonts w:ascii="Courier New" w:hAnsi="Courier New" w:cs="Courier New" w:hint="default"/>
      </w:rPr>
    </w:lvl>
    <w:lvl w:ilvl="5" w:tplc="040C0005" w:tentative="1">
      <w:start w:val="1"/>
      <w:numFmt w:val="bullet"/>
      <w:lvlText w:val=""/>
      <w:lvlJc w:val="left"/>
      <w:pPr>
        <w:ind w:left="5217" w:hanging="360"/>
      </w:pPr>
      <w:rPr>
        <w:rFonts w:ascii="Wingdings" w:hAnsi="Wingdings" w:hint="default"/>
      </w:rPr>
    </w:lvl>
    <w:lvl w:ilvl="6" w:tplc="040C0001" w:tentative="1">
      <w:start w:val="1"/>
      <w:numFmt w:val="bullet"/>
      <w:lvlText w:val=""/>
      <w:lvlJc w:val="left"/>
      <w:pPr>
        <w:ind w:left="5937" w:hanging="360"/>
      </w:pPr>
      <w:rPr>
        <w:rFonts w:ascii="Symbol" w:hAnsi="Symbol" w:hint="default"/>
      </w:rPr>
    </w:lvl>
    <w:lvl w:ilvl="7" w:tplc="040C0003" w:tentative="1">
      <w:start w:val="1"/>
      <w:numFmt w:val="bullet"/>
      <w:lvlText w:val="o"/>
      <w:lvlJc w:val="left"/>
      <w:pPr>
        <w:ind w:left="6657" w:hanging="360"/>
      </w:pPr>
      <w:rPr>
        <w:rFonts w:ascii="Courier New" w:hAnsi="Courier New" w:cs="Courier New" w:hint="default"/>
      </w:rPr>
    </w:lvl>
    <w:lvl w:ilvl="8" w:tplc="040C0005" w:tentative="1">
      <w:start w:val="1"/>
      <w:numFmt w:val="bullet"/>
      <w:lvlText w:val=""/>
      <w:lvlJc w:val="left"/>
      <w:pPr>
        <w:ind w:left="7377" w:hanging="360"/>
      </w:pPr>
      <w:rPr>
        <w:rFonts w:ascii="Wingdings" w:hAnsi="Wingdings" w:hint="default"/>
      </w:rPr>
    </w:lvl>
  </w:abstractNum>
  <w:abstractNum w:abstractNumId="37">
    <w:nsid w:val="62C7480C"/>
    <w:multiLevelType w:val="hybridMultilevel"/>
    <w:tmpl w:val="56F8D4EA"/>
    <w:lvl w:ilvl="0" w:tplc="0A20B9C2">
      <w:start w:val="1"/>
      <w:numFmt w:val="bullet"/>
      <w:lvlText w:val=""/>
      <w:lvlJc w:val="left"/>
      <w:pPr>
        <w:ind w:left="144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63372E3"/>
    <w:multiLevelType w:val="hybridMultilevel"/>
    <w:tmpl w:val="A43E90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ECD74D7"/>
    <w:multiLevelType w:val="hybridMultilevel"/>
    <w:tmpl w:val="6B1C80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2155ED4"/>
    <w:multiLevelType w:val="hybridMultilevel"/>
    <w:tmpl w:val="F1A4A62E"/>
    <w:lvl w:ilvl="0" w:tplc="0DF4A798">
      <w:start w:val="1"/>
      <w:numFmt w:val="upp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41">
    <w:nsid w:val="74E25D21"/>
    <w:multiLevelType w:val="hybridMultilevel"/>
    <w:tmpl w:val="24E0FB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5440846"/>
    <w:multiLevelType w:val="hybridMultilevel"/>
    <w:tmpl w:val="1D8038D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
    <w:nsid w:val="759241F8"/>
    <w:multiLevelType w:val="hybridMultilevel"/>
    <w:tmpl w:val="6448912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646303B"/>
    <w:multiLevelType w:val="hybridMultilevel"/>
    <w:tmpl w:val="0DC6C04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5">
    <w:nsid w:val="79E228F6"/>
    <w:multiLevelType w:val="hybridMultilevel"/>
    <w:tmpl w:val="1102B62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7B97361F"/>
    <w:multiLevelType w:val="hybridMultilevel"/>
    <w:tmpl w:val="B0B0DBC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7B9C7560"/>
    <w:multiLevelType w:val="hybridMultilevel"/>
    <w:tmpl w:val="B6FEDF7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7C464F13"/>
    <w:multiLevelType w:val="hybridMultilevel"/>
    <w:tmpl w:val="8FD8CAD6"/>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9">
    <w:nsid w:val="7EFB2B86"/>
    <w:multiLevelType w:val="hybridMultilevel"/>
    <w:tmpl w:val="2328297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2"/>
  </w:num>
  <w:num w:numId="3">
    <w:abstractNumId w:val="20"/>
  </w:num>
  <w:num w:numId="4">
    <w:abstractNumId w:val="26"/>
  </w:num>
  <w:num w:numId="5">
    <w:abstractNumId w:val="21"/>
  </w:num>
  <w:num w:numId="6">
    <w:abstractNumId w:val="18"/>
  </w:num>
  <w:num w:numId="7">
    <w:abstractNumId w:val="43"/>
  </w:num>
  <w:num w:numId="8">
    <w:abstractNumId w:val="8"/>
  </w:num>
  <w:num w:numId="9">
    <w:abstractNumId w:val="9"/>
  </w:num>
  <w:num w:numId="10">
    <w:abstractNumId w:val="27"/>
  </w:num>
  <w:num w:numId="11">
    <w:abstractNumId w:val="40"/>
  </w:num>
  <w:num w:numId="12">
    <w:abstractNumId w:val="47"/>
  </w:num>
  <w:num w:numId="13">
    <w:abstractNumId w:val="13"/>
  </w:num>
  <w:num w:numId="14">
    <w:abstractNumId w:val="4"/>
  </w:num>
  <w:num w:numId="15">
    <w:abstractNumId w:val="33"/>
  </w:num>
  <w:num w:numId="16">
    <w:abstractNumId w:val="46"/>
  </w:num>
  <w:num w:numId="17">
    <w:abstractNumId w:val="28"/>
  </w:num>
  <w:num w:numId="18">
    <w:abstractNumId w:val="5"/>
  </w:num>
  <w:num w:numId="19">
    <w:abstractNumId w:val="0"/>
  </w:num>
  <w:num w:numId="20">
    <w:abstractNumId w:val="6"/>
  </w:num>
  <w:num w:numId="21">
    <w:abstractNumId w:val="1"/>
  </w:num>
  <w:num w:numId="22">
    <w:abstractNumId w:val="34"/>
  </w:num>
  <w:num w:numId="23">
    <w:abstractNumId w:val="49"/>
  </w:num>
  <w:num w:numId="24">
    <w:abstractNumId w:val="29"/>
  </w:num>
  <w:num w:numId="25">
    <w:abstractNumId w:val="3"/>
  </w:num>
  <w:num w:numId="26">
    <w:abstractNumId w:val="45"/>
  </w:num>
  <w:num w:numId="27">
    <w:abstractNumId w:val="19"/>
  </w:num>
  <w:num w:numId="28">
    <w:abstractNumId w:val="14"/>
  </w:num>
  <w:num w:numId="29">
    <w:abstractNumId w:val="31"/>
  </w:num>
  <w:num w:numId="30">
    <w:abstractNumId w:val="37"/>
  </w:num>
  <w:num w:numId="31">
    <w:abstractNumId w:val="48"/>
  </w:num>
  <w:num w:numId="32">
    <w:abstractNumId w:val="30"/>
  </w:num>
  <w:num w:numId="33">
    <w:abstractNumId w:val="23"/>
  </w:num>
  <w:num w:numId="34">
    <w:abstractNumId w:val="2"/>
  </w:num>
  <w:num w:numId="35">
    <w:abstractNumId w:val="32"/>
  </w:num>
  <w:num w:numId="36">
    <w:abstractNumId w:val="24"/>
  </w:num>
  <w:num w:numId="37">
    <w:abstractNumId w:val="44"/>
  </w:num>
  <w:num w:numId="38">
    <w:abstractNumId w:val="7"/>
  </w:num>
  <w:num w:numId="39">
    <w:abstractNumId w:val="22"/>
  </w:num>
  <w:num w:numId="40">
    <w:abstractNumId w:val="16"/>
  </w:num>
  <w:num w:numId="41">
    <w:abstractNumId w:val="41"/>
  </w:num>
  <w:num w:numId="42">
    <w:abstractNumId w:val="25"/>
  </w:num>
  <w:num w:numId="43">
    <w:abstractNumId w:val="11"/>
  </w:num>
  <w:num w:numId="44">
    <w:abstractNumId w:val="36"/>
  </w:num>
  <w:num w:numId="45">
    <w:abstractNumId w:val="17"/>
  </w:num>
  <w:num w:numId="46">
    <w:abstractNumId w:val="42"/>
  </w:num>
  <w:num w:numId="47">
    <w:abstractNumId w:val="39"/>
  </w:num>
  <w:num w:numId="48">
    <w:abstractNumId w:val="38"/>
  </w:num>
  <w:num w:numId="49">
    <w:abstractNumId w:val="35"/>
  </w:num>
  <w:num w:numId="5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D4706E"/>
    <w:rsid w:val="000003F4"/>
    <w:rsid w:val="00001BE8"/>
    <w:rsid w:val="00002397"/>
    <w:rsid w:val="000032B1"/>
    <w:rsid w:val="0000501A"/>
    <w:rsid w:val="00005986"/>
    <w:rsid w:val="00006466"/>
    <w:rsid w:val="0000690F"/>
    <w:rsid w:val="00006BC6"/>
    <w:rsid w:val="000078CB"/>
    <w:rsid w:val="00007911"/>
    <w:rsid w:val="00007D28"/>
    <w:rsid w:val="000100A4"/>
    <w:rsid w:val="00011D82"/>
    <w:rsid w:val="000129CA"/>
    <w:rsid w:val="000142AD"/>
    <w:rsid w:val="000147AF"/>
    <w:rsid w:val="00014A3A"/>
    <w:rsid w:val="00014E1F"/>
    <w:rsid w:val="000150A2"/>
    <w:rsid w:val="00015E79"/>
    <w:rsid w:val="00015ED4"/>
    <w:rsid w:val="00020190"/>
    <w:rsid w:val="00020D2D"/>
    <w:rsid w:val="00021FF5"/>
    <w:rsid w:val="00026098"/>
    <w:rsid w:val="00026431"/>
    <w:rsid w:val="0002699A"/>
    <w:rsid w:val="00030C2C"/>
    <w:rsid w:val="00031477"/>
    <w:rsid w:val="00031AC0"/>
    <w:rsid w:val="00031B08"/>
    <w:rsid w:val="00031C54"/>
    <w:rsid w:val="0003299A"/>
    <w:rsid w:val="00033D48"/>
    <w:rsid w:val="000341EF"/>
    <w:rsid w:val="0003448F"/>
    <w:rsid w:val="000353EE"/>
    <w:rsid w:val="00035910"/>
    <w:rsid w:val="0003633A"/>
    <w:rsid w:val="00036959"/>
    <w:rsid w:val="000369B2"/>
    <w:rsid w:val="00037772"/>
    <w:rsid w:val="00037B77"/>
    <w:rsid w:val="0004072E"/>
    <w:rsid w:val="00041AB1"/>
    <w:rsid w:val="00041F57"/>
    <w:rsid w:val="00042FBE"/>
    <w:rsid w:val="00043754"/>
    <w:rsid w:val="00044721"/>
    <w:rsid w:val="00044BB8"/>
    <w:rsid w:val="00046489"/>
    <w:rsid w:val="0004670F"/>
    <w:rsid w:val="00047212"/>
    <w:rsid w:val="0004728A"/>
    <w:rsid w:val="000500FE"/>
    <w:rsid w:val="000504B8"/>
    <w:rsid w:val="000513A4"/>
    <w:rsid w:val="00051C27"/>
    <w:rsid w:val="00051CCE"/>
    <w:rsid w:val="000552F8"/>
    <w:rsid w:val="000555C5"/>
    <w:rsid w:val="000555EF"/>
    <w:rsid w:val="000568A5"/>
    <w:rsid w:val="00056D66"/>
    <w:rsid w:val="000576E4"/>
    <w:rsid w:val="0005785B"/>
    <w:rsid w:val="00057DAC"/>
    <w:rsid w:val="00061191"/>
    <w:rsid w:val="00061268"/>
    <w:rsid w:val="000615DB"/>
    <w:rsid w:val="0006226A"/>
    <w:rsid w:val="00063615"/>
    <w:rsid w:val="00063E54"/>
    <w:rsid w:val="00065AAA"/>
    <w:rsid w:val="0006683E"/>
    <w:rsid w:val="00066E7A"/>
    <w:rsid w:val="00066F94"/>
    <w:rsid w:val="0007177E"/>
    <w:rsid w:val="000718D4"/>
    <w:rsid w:val="00071C1F"/>
    <w:rsid w:val="00071E1E"/>
    <w:rsid w:val="0007250E"/>
    <w:rsid w:val="00072CD2"/>
    <w:rsid w:val="00073504"/>
    <w:rsid w:val="0007453D"/>
    <w:rsid w:val="0007487D"/>
    <w:rsid w:val="00074C3B"/>
    <w:rsid w:val="000756D6"/>
    <w:rsid w:val="00075838"/>
    <w:rsid w:val="000772FD"/>
    <w:rsid w:val="00077F0E"/>
    <w:rsid w:val="0008034C"/>
    <w:rsid w:val="000806CD"/>
    <w:rsid w:val="000811B9"/>
    <w:rsid w:val="00081AD0"/>
    <w:rsid w:val="00081EBB"/>
    <w:rsid w:val="00083366"/>
    <w:rsid w:val="000839D8"/>
    <w:rsid w:val="000844A2"/>
    <w:rsid w:val="00085014"/>
    <w:rsid w:val="0008535F"/>
    <w:rsid w:val="00085A5B"/>
    <w:rsid w:val="00086DE5"/>
    <w:rsid w:val="000870CA"/>
    <w:rsid w:val="00087ECD"/>
    <w:rsid w:val="00090084"/>
    <w:rsid w:val="000911B8"/>
    <w:rsid w:val="00091890"/>
    <w:rsid w:val="00092A41"/>
    <w:rsid w:val="00093FA8"/>
    <w:rsid w:val="00094692"/>
    <w:rsid w:val="00094CB2"/>
    <w:rsid w:val="00094EAD"/>
    <w:rsid w:val="0009608A"/>
    <w:rsid w:val="000960BA"/>
    <w:rsid w:val="00096485"/>
    <w:rsid w:val="00097095"/>
    <w:rsid w:val="000A075D"/>
    <w:rsid w:val="000A0B50"/>
    <w:rsid w:val="000A0D0A"/>
    <w:rsid w:val="000A2881"/>
    <w:rsid w:val="000A33B1"/>
    <w:rsid w:val="000A3C64"/>
    <w:rsid w:val="000A4037"/>
    <w:rsid w:val="000A502B"/>
    <w:rsid w:val="000A50C6"/>
    <w:rsid w:val="000A5949"/>
    <w:rsid w:val="000A5C72"/>
    <w:rsid w:val="000A603C"/>
    <w:rsid w:val="000A62A0"/>
    <w:rsid w:val="000A750B"/>
    <w:rsid w:val="000B0375"/>
    <w:rsid w:val="000B2591"/>
    <w:rsid w:val="000B2CBE"/>
    <w:rsid w:val="000B30EF"/>
    <w:rsid w:val="000B3A7C"/>
    <w:rsid w:val="000B3FD2"/>
    <w:rsid w:val="000B62A1"/>
    <w:rsid w:val="000B6815"/>
    <w:rsid w:val="000B6AF3"/>
    <w:rsid w:val="000B7D70"/>
    <w:rsid w:val="000C0C67"/>
    <w:rsid w:val="000C1EBA"/>
    <w:rsid w:val="000C1FA2"/>
    <w:rsid w:val="000C249D"/>
    <w:rsid w:val="000C27D8"/>
    <w:rsid w:val="000C2D1D"/>
    <w:rsid w:val="000C3C9E"/>
    <w:rsid w:val="000C5E4B"/>
    <w:rsid w:val="000D0FD2"/>
    <w:rsid w:val="000D1465"/>
    <w:rsid w:val="000D1BD6"/>
    <w:rsid w:val="000D2319"/>
    <w:rsid w:val="000D5E66"/>
    <w:rsid w:val="000D5FE7"/>
    <w:rsid w:val="000D6C18"/>
    <w:rsid w:val="000D6EEC"/>
    <w:rsid w:val="000D7CCD"/>
    <w:rsid w:val="000E0294"/>
    <w:rsid w:val="000E0661"/>
    <w:rsid w:val="000E1634"/>
    <w:rsid w:val="000E19D6"/>
    <w:rsid w:val="000E2E86"/>
    <w:rsid w:val="000E30C2"/>
    <w:rsid w:val="000E30C7"/>
    <w:rsid w:val="000E3522"/>
    <w:rsid w:val="000E3B68"/>
    <w:rsid w:val="000E4254"/>
    <w:rsid w:val="000E42D1"/>
    <w:rsid w:val="000E4D19"/>
    <w:rsid w:val="000E51C8"/>
    <w:rsid w:val="000E58EC"/>
    <w:rsid w:val="000E6080"/>
    <w:rsid w:val="000E6900"/>
    <w:rsid w:val="000E6C0C"/>
    <w:rsid w:val="000E6F17"/>
    <w:rsid w:val="000E719F"/>
    <w:rsid w:val="000E726E"/>
    <w:rsid w:val="000E7EE2"/>
    <w:rsid w:val="000F1683"/>
    <w:rsid w:val="000F18F5"/>
    <w:rsid w:val="000F2B31"/>
    <w:rsid w:val="000F3460"/>
    <w:rsid w:val="000F34DE"/>
    <w:rsid w:val="000F3998"/>
    <w:rsid w:val="000F3E79"/>
    <w:rsid w:val="000F3FB9"/>
    <w:rsid w:val="000F3FC1"/>
    <w:rsid w:val="000F484B"/>
    <w:rsid w:val="000F4A67"/>
    <w:rsid w:val="000F5524"/>
    <w:rsid w:val="000F5FE2"/>
    <w:rsid w:val="000F712C"/>
    <w:rsid w:val="001000B4"/>
    <w:rsid w:val="001002B4"/>
    <w:rsid w:val="0010034F"/>
    <w:rsid w:val="00100BB6"/>
    <w:rsid w:val="001012C9"/>
    <w:rsid w:val="001019F9"/>
    <w:rsid w:val="00101F85"/>
    <w:rsid w:val="00102821"/>
    <w:rsid w:val="001034E0"/>
    <w:rsid w:val="0010361F"/>
    <w:rsid w:val="00104888"/>
    <w:rsid w:val="00106120"/>
    <w:rsid w:val="0010695E"/>
    <w:rsid w:val="00107066"/>
    <w:rsid w:val="00107619"/>
    <w:rsid w:val="00107ABF"/>
    <w:rsid w:val="00110161"/>
    <w:rsid w:val="001109DA"/>
    <w:rsid w:val="00110C95"/>
    <w:rsid w:val="00111EDB"/>
    <w:rsid w:val="00111EF8"/>
    <w:rsid w:val="00112699"/>
    <w:rsid w:val="00112DFD"/>
    <w:rsid w:val="001131B3"/>
    <w:rsid w:val="00113320"/>
    <w:rsid w:val="00113E06"/>
    <w:rsid w:val="001145A3"/>
    <w:rsid w:val="001147A2"/>
    <w:rsid w:val="00114F63"/>
    <w:rsid w:val="00115FF4"/>
    <w:rsid w:val="00116312"/>
    <w:rsid w:val="001164B8"/>
    <w:rsid w:val="001167FD"/>
    <w:rsid w:val="00117C29"/>
    <w:rsid w:val="00117D11"/>
    <w:rsid w:val="00120317"/>
    <w:rsid w:val="00120676"/>
    <w:rsid w:val="00121323"/>
    <w:rsid w:val="00121547"/>
    <w:rsid w:val="00121CAD"/>
    <w:rsid w:val="0012288E"/>
    <w:rsid w:val="00122CFE"/>
    <w:rsid w:val="00123899"/>
    <w:rsid w:val="0012399F"/>
    <w:rsid w:val="00123AF7"/>
    <w:rsid w:val="00124244"/>
    <w:rsid w:val="00125C58"/>
    <w:rsid w:val="00126273"/>
    <w:rsid w:val="0012630A"/>
    <w:rsid w:val="001267FB"/>
    <w:rsid w:val="00130029"/>
    <w:rsid w:val="001304E2"/>
    <w:rsid w:val="001314CF"/>
    <w:rsid w:val="0013164C"/>
    <w:rsid w:val="00132FDD"/>
    <w:rsid w:val="001334BB"/>
    <w:rsid w:val="001334E2"/>
    <w:rsid w:val="00133FCE"/>
    <w:rsid w:val="00134D2C"/>
    <w:rsid w:val="00134F49"/>
    <w:rsid w:val="001359B9"/>
    <w:rsid w:val="00135D54"/>
    <w:rsid w:val="00136567"/>
    <w:rsid w:val="00136AE0"/>
    <w:rsid w:val="001370C4"/>
    <w:rsid w:val="001375DF"/>
    <w:rsid w:val="00137EC6"/>
    <w:rsid w:val="001401D4"/>
    <w:rsid w:val="00141359"/>
    <w:rsid w:val="0014204A"/>
    <w:rsid w:val="00142774"/>
    <w:rsid w:val="00142AB6"/>
    <w:rsid w:val="00143BF9"/>
    <w:rsid w:val="00143D60"/>
    <w:rsid w:val="0014442C"/>
    <w:rsid w:val="00144482"/>
    <w:rsid w:val="001468F3"/>
    <w:rsid w:val="00147644"/>
    <w:rsid w:val="00147E5D"/>
    <w:rsid w:val="001504E3"/>
    <w:rsid w:val="0015120F"/>
    <w:rsid w:val="00151FC5"/>
    <w:rsid w:val="001533F6"/>
    <w:rsid w:val="0015369C"/>
    <w:rsid w:val="00153727"/>
    <w:rsid w:val="0015482B"/>
    <w:rsid w:val="0015583D"/>
    <w:rsid w:val="00155B03"/>
    <w:rsid w:val="001563A3"/>
    <w:rsid w:val="00156DB9"/>
    <w:rsid w:val="001572DE"/>
    <w:rsid w:val="00157B4D"/>
    <w:rsid w:val="001603E3"/>
    <w:rsid w:val="00160484"/>
    <w:rsid w:val="00160776"/>
    <w:rsid w:val="001624BF"/>
    <w:rsid w:val="00164BF3"/>
    <w:rsid w:val="001653D8"/>
    <w:rsid w:val="00165C9F"/>
    <w:rsid w:val="00165D6B"/>
    <w:rsid w:val="001662A1"/>
    <w:rsid w:val="00166754"/>
    <w:rsid w:val="00166E90"/>
    <w:rsid w:val="001676B2"/>
    <w:rsid w:val="0016785C"/>
    <w:rsid w:val="00167D78"/>
    <w:rsid w:val="0017230A"/>
    <w:rsid w:val="00172F99"/>
    <w:rsid w:val="001737D1"/>
    <w:rsid w:val="00173D7A"/>
    <w:rsid w:val="00174474"/>
    <w:rsid w:val="00176EB8"/>
    <w:rsid w:val="001774BB"/>
    <w:rsid w:val="001775E5"/>
    <w:rsid w:val="0017781A"/>
    <w:rsid w:val="00180453"/>
    <w:rsid w:val="00180754"/>
    <w:rsid w:val="00180993"/>
    <w:rsid w:val="00180EF5"/>
    <w:rsid w:val="001816BA"/>
    <w:rsid w:val="001822EA"/>
    <w:rsid w:val="00184080"/>
    <w:rsid w:val="001843D6"/>
    <w:rsid w:val="00185869"/>
    <w:rsid w:val="00185D9B"/>
    <w:rsid w:val="001861A7"/>
    <w:rsid w:val="00186B22"/>
    <w:rsid w:val="00187AC8"/>
    <w:rsid w:val="00187E74"/>
    <w:rsid w:val="00187EC9"/>
    <w:rsid w:val="00190932"/>
    <w:rsid w:val="00190A63"/>
    <w:rsid w:val="00191620"/>
    <w:rsid w:val="00191BFB"/>
    <w:rsid w:val="00191F7E"/>
    <w:rsid w:val="001927AD"/>
    <w:rsid w:val="00192B81"/>
    <w:rsid w:val="00192BA8"/>
    <w:rsid w:val="001933BD"/>
    <w:rsid w:val="00193652"/>
    <w:rsid w:val="0019483A"/>
    <w:rsid w:val="00194984"/>
    <w:rsid w:val="00194DD7"/>
    <w:rsid w:val="00194FC9"/>
    <w:rsid w:val="001959A5"/>
    <w:rsid w:val="00195D2E"/>
    <w:rsid w:val="001972F2"/>
    <w:rsid w:val="001974C5"/>
    <w:rsid w:val="001A0FC9"/>
    <w:rsid w:val="001A0FCC"/>
    <w:rsid w:val="001A1CE4"/>
    <w:rsid w:val="001A397C"/>
    <w:rsid w:val="001A4418"/>
    <w:rsid w:val="001A4F33"/>
    <w:rsid w:val="001A5A29"/>
    <w:rsid w:val="001A659A"/>
    <w:rsid w:val="001A6836"/>
    <w:rsid w:val="001A69F1"/>
    <w:rsid w:val="001A6EC1"/>
    <w:rsid w:val="001A71E5"/>
    <w:rsid w:val="001A7AE2"/>
    <w:rsid w:val="001B1407"/>
    <w:rsid w:val="001B17C8"/>
    <w:rsid w:val="001B24D9"/>
    <w:rsid w:val="001B2FC5"/>
    <w:rsid w:val="001B324A"/>
    <w:rsid w:val="001B3350"/>
    <w:rsid w:val="001B35AE"/>
    <w:rsid w:val="001B4ACA"/>
    <w:rsid w:val="001B54AB"/>
    <w:rsid w:val="001B55AA"/>
    <w:rsid w:val="001B59E3"/>
    <w:rsid w:val="001B5EF4"/>
    <w:rsid w:val="001B6BC9"/>
    <w:rsid w:val="001B72DD"/>
    <w:rsid w:val="001B7F74"/>
    <w:rsid w:val="001C0ABD"/>
    <w:rsid w:val="001C13DD"/>
    <w:rsid w:val="001C1BFF"/>
    <w:rsid w:val="001C2027"/>
    <w:rsid w:val="001C255F"/>
    <w:rsid w:val="001C28FB"/>
    <w:rsid w:val="001C3605"/>
    <w:rsid w:val="001C4311"/>
    <w:rsid w:val="001C44C3"/>
    <w:rsid w:val="001C4DE2"/>
    <w:rsid w:val="001C578F"/>
    <w:rsid w:val="001C5C17"/>
    <w:rsid w:val="001C6074"/>
    <w:rsid w:val="001C74BB"/>
    <w:rsid w:val="001D16C2"/>
    <w:rsid w:val="001D1EEB"/>
    <w:rsid w:val="001D397E"/>
    <w:rsid w:val="001D682B"/>
    <w:rsid w:val="001D7B3F"/>
    <w:rsid w:val="001D7FFA"/>
    <w:rsid w:val="001E0872"/>
    <w:rsid w:val="001E0CA5"/>
    <w:rsid w:val="001E1000"/>
    <w:rsid w:val="001E1231"/>
    <w:rsid w:val="001E26D1"/>
    <w:rsid w:val="001E35C3"/>
    <w:rsid w:val="001E676D"/>
    <w:rsid w:val="001E684F"/>
    <w:rsid w:val="001E7CC1"/>
    <w:rsid w:val="001F012A"/>
    <w:rsid w:val="001F0FDD"/>
    <w:rsid w:val="001F1142"/>
    <w:rsid w:val="001F1A6D"/>
    <w:rsid w:val="001F1E7E"/>
    <w:rsid w:val="001F2D36"/>
    <w:rsid w:val="001F352B"/>
    <w:rsid w:val="001F4275"/>
    <w:rsid w:val="001F4369"/>
    <w:rsid w:val="001F4F32"/>
    <w:rsid w:val="001F5FCE"/>
    <w:rsid w:val="001F769B"/>
    <w:rsid w:val="001F7CA6"/>
    <w:rsid w:val="002008D8"/>
    <w:rsid w:val="002013DD"/>
    <w:rsid w:val="00202AF6"/>
    <w:rsid w:val="00202FD1"/>
    <w:rsid w:val="00203266"/>
    <w:rsid w:val="002037D4"/>
    <w:rsid w:val="00203D40"/>
    <w:rsid w:val="0020450C"/>
    <w:rsid w:val="002063EF"/>
    <w:rsid w:val="0020640D"/>
    <w:rsid w:val="0020695F"/>
    <w:rsid w:val="002070D5"/>
    <w:rsid w:val="0020750E"/>
    <w:rsid w:val="00207C71"/>
    <w:rsid w:val="00210300"/>
    <w:rsid w:val="0021036F"/>
    <w:rsid w:val="0021137E"/>
    <w:rsid w:val="00211431"/>
    <w:rsid w:val="00211CB2"/>
    <w:rsid w:val="00212DEB"/>
    <w:rsid w:val="0021342E"/>
    <w:rsid w:val="00214918"/>
    <w:rsid w:val="00214A73"/>
    <w:rsid w:val="00217D4B"/>
    <w:rsid w:val="00220B34"/>
    <w:rsid w:val="00220EC1"/>
    <w:rsid w:val="00221526"/>
    <w:rsid w:val="00221846"/>
    <w:rsid w:val="00222F76"/>
    <w:rsid w:val="00223C2E"/>
    <w:rsid w:val="002245F9"/>
    <w:rsid w:val="00224CE1"/>
    <w:rsid w:val="00226A9C"/>
    <w:rsid w:val="002271B1"/>
    <w:rsid w:val="00227231"/>
    <w:rsid w:val="00230056"/>
    <w:rsid w:val="00230260"/>
    <w:rsid w:val="00230BA6"/>
    <w:rsid w:val="002317AC"/>
    <w:rsid w:val="00231ECA"/>
    <w:rsid w:val="002325CB"/>
    <w:rsid w:val="0023266D"/>
    <w:rsid w:val="00233681"/>
    <w:rsid w:val="00234083"/>
    <w:rsid w:val="00234156"/>
    <w:rsid w:val="00234F42"/>
    <w:rsid w:val="002356BE"/>
    <w:rsid w:val="002359BF"/>
    <w:rsid w:val="00235F92"/>
    <w:rsid w:val="00236144"/>
    <w:rsid w:val="00236F5C"/>
    <w:rsid w:val="002371A6"/>
    <w:rsid w:val="00237B94"/>
    <w:rsid w:val="0024083F"/>
    <w:rsid w:val="0024346E"/>
    <w:rsid w:val="0024348B"/>
    <w:rsid w:val="00243F6F"/>
    <w:rsid w:val="002441B8"/>
    <w:rsid w:val="00244C4C"/>
    <w:rsid w:val="00244E32"/>
    <w:rsid w:val="00245A6C"/>
    <w:rsid w:val="00245DAA"/>
    <w:rsid w:val="00246697"/>
    <w:rsid w:val="0024740F"/>
    <w:rsid w:val="00247A82"/>
    <w:rsid w:val="00247E03"/>
    <w:rsid w:val="0025017E"/>
    <w:rsid w:val="00250D88"/>
    <w:rsid w:val="002513B4"/>
    <w:rsid w:val="0025157F"/>
    <w:rsid w:val="002518ED"/>
    <w:rsid w:val="00251D67"/>
    <w:rsid w:val="00252022"/>
    <w:rsid w:val="002529F1"/>
    <w:rsid w:val="002536E3"/>
    <w:rsid w:val="002547C4"/>
    <w:rsid w:val="00255A89"/>
    <w:rsid w:val="00255E91"/>
    <w:rsid w:val="0025634D"/>
    <w:rsid w:val="00256416"/>
    <w:rsid w:val="0025777F"/>
    <w:rsid w:val="00257DAF"/>
    <w:rsid w:val="00260131"/>
    <w:rsid w:val="0026041C"/>
    <w:rsid w:val="0026061E"/>
    <w:rsid w:val="002615B2"/>
    <w:rsid w:val="00262D71"/>
    <w:rsid w:val="00263456"/>
    <w:rsid w:val="00263DA5"/>
    <w:rsid w:val="00264E4D"/>
    <w:rsid w:val="00265052"/>
    <w:rsid w:val="00265A91"/>
    <w:rsid w:val="002672BB"/>
    <w:rsid w:val="00270064"/>
    <w:rsid w:val="00271125"/>
    <w:rsid w:val="0027170C"/>
    <w:rsid w:val="0027194B"/>
    <w:rsid w:val="0027285C"/>
    <w:rsid w:val="002730C6"/>
    <w:rsid w:val="0027522A"/>
    <w:rsid w:val="002754E5"/>
    <w:rsid w:val="00275E8D"/>
    <w:rsid w:val="00276068"/>
    <w:rsid w:val="00276CB1"/>
    <w:rsid w:val="00276DD2"/>
    <w:rsid w:val="002774D1"/>
    <w:rsid w:val="00277BE9"/>
    <w:rsid w:val="00280003"/>
    <w:rsid w:val="002803A5"/>
    <w:rsid w:val="00281010"/>
    <w:rsid w:val="0028168A"/>
    <w:rsid w:val="00282881"/>
    <w:rsid w:val="00282AA7"/>
    <w:rsid w:val="00283138"/>
    <w:rsid w:val="00283508"/>
    <w:rsid w:val="00284309"/>
    <w:rsid w:val="002852D2"/>
    <w:rsid w:val="002865F1"/>
    <w:rsid w:val="002870D1"/>
    <w:rsid w:val="00287AEA"/>
    <w:rsid w:val="00290243"/>
    <w:rsid w:val="0029110E"/>
    <w:rsid w:val="002929E5"/>
    <w:rsid w:val="00292DE8"/>
    <w:rsid w:val="0029369A"/>
    <w:rsid w:val="0029374F"/>
    <w:rsid w:val="00293923"/>
    <w:rsid w:val="00296536"/>
    <w:rsid w:val="00297138"/>
    <w:rsid w:val="002A0760"/>
    <w:rsid w:val="002A157E"/>
    <w:rsid w:val="002A1B26"/>
    <w:rsid w:val="002A278C"/>
    <w:rsid w:val="002A435E"/>
    <w:rsid w:val="002A6BAE"/>
    <w:rsid w:val="002B06FC"/>
    <w:rsid w:val="002B0A9A"/>
    <w:rsid w:val="002B0E38"/>
    <w:rsid w:val="002B0E61"/>
    <w:rsid w:val="002B243F"/>
    <w:rsid w:val="002B432C"/>
    <w:rsid w:val="002B4804"/>
    <w:rsid w:val="002B4B79"/>
    <w:rsid w:val="002B5713"/>
    <w:rsid w:val="002B5A73"/>
    <w:rsid w:val="002B62F0"/>
    <w:rsid w:val="002B6C02"/>
    <w:rsid w:val="002C1A74"/>
    <w:rsid w:val="002C2172"/>
    <w:rsid w:val="002C2247"/>
    <w:rsid w:val="002C2B4A"/>
    <w:rsid w:val="002C30E5"/>
    <w:rsid w:val="002C3C3F"/>
    <w:rsid w:val="002C46E3"/>
    <w:rsid w:val="002C4CF7"/>
    <w:rsid w:val="002C6D23"/>
    <w:rsid w:val="002D0C18"/>
    <w:rsid w:val="002D0CE3"/>
    <w:rsid w:val="002D0D64"/>
    <w:rsid w:val="002D0E76"/>
    <w:rsid w:val="002D2DE0"/>
    <w:rsid w:val="002D3576"/>
    <w:rsid w:val="002D35DD"/>
    <w:rsid w:val="002D3B86"/>
    <w:rsid w:val="002D4175"/>
    <w:rsid w:val="002D436C"/>
    <w:rsid w:val="002D454C"/>
    <w:rsid w:val="002D5D44"/>
    <w:rsid w:val="002D5E6A"/>
    <w:rsid w:val="002D6140"/>
    <w:rsid w:val="002D7339"/>
    <w:rsid w:val="002D7729"/>
    <w:rsid w:val="002D7E63"/>
    <w:rsid w:val="002E2B19"/>
    <w:rsid w:val="002E4540"/>
    <w:rsid w:val="002E48A2"/>
    <w:rsid w:val="002E5531"/>
    <w:rsid w:val="002E6E5D"/>
    <w:rsid w:val="002E6F77"/>
    <w:rsid w:val="002E7195"/>
    <w:rsid w:val="002E7FD5"/>
    <w:rsid w:val="002F10D7"/>
    <w:rsid w:val="002F4A59"/>
    <w:rsid w:val="002F4D78"/>
    <w:rsid w:val="002F4EF2"/>
    <w:rsid w:val="002F5AC7"/>
    <w:rsid w:val="002F6BEC"/>
    <w:rsid w:val="002F6FDB"/>
    <w:rsid w:val="002F7BEC"/>
    <w:rsid w:val="002F7CA3"/>
    <w:rsid w:val="00300280"/>
    <w:rsid w:val="00301682"/>
    <w:rsid w:val="00302050"/>
    <w:rsid w:val="003025F2"/>
    <w:rsid w:val="00302987"/>
    <w:rsid w:val="00303536"/>
    <w:rsid w:val="00303940"/>
    <w:rsid w:val="00303F98"/>
    <w:rsid w:val="00304678"/>
    <w:rsid w:val="00305752"/>
    <w:rsid w:val="00305B51"/>
    <w:rsid w:val="003066D1"/>
    <w:rsid w:val="00306A86"/>
    <w:rsid w:val="00307DCB"/>
    <w:rsid w:val="003113B3"/>
    <w:rsid w:val="00312B6D"/>
    <w:rsid w:val="00313A05"/>
    <w:rsid w:val="00313EB7"/>
    <w:rsid w:val="00314132"/>
    <w:rsid w:val="00314B78"/>
    <w:rsid w:val="0031523A"/>
    <w:rsid w:val="003171BC"/>
    <w:rsid w:val="00321AA8"/>
    <w:rsid w:val="00321E12"/>
    <w:rsid w:val="00322114"/>
    <w:rsid w:val="003227FE"/>
    <w:rsid w:val="00322A20"/>
    <w:rsid w:val="00322D4C"/>
    <w:rsid w:val="003230E4"/>
    <w:rsid w:val="00323236"/>
    <w:rsid w:val="00323B4E"/>
    <w:rsid w:val="00323FAF"/>
    <w:rsid w:val="00324B2D"/>
    <w:rsid w:val="00324B3A"/>
    <w:rsid w:val="003263E1"/>
    <w:rsid w:val="00330781"/>
    <w:rsid w:val="003319DA"/>
    <w:rsid w:val="0033224D"/>
    <w:rsid w:val="00332651"/>
    <w:rsid w:val="003328EC"/>
    <w:rsid w:val="00333B02"/>
    <w:rsid w:val="00333C0A"/>
    <w:rsid w:val="00334416"/>
    <w:rsid w:val="00335333"/>
    <w:rsid w:val="003355A1"/>
    <w:rsid w:val="00335B50"/>
    <w:rsid w:val="0033626A"/>
    <w:rsid w:val="003368D1"/>
    <w:rsid w:val="00336B09"/>
    <w:rsid w:val="0033746E"/>
    <w:rsid w:val="00337E79"/>
    <w:rsid w:val="003408B9"/>
    <w:rsid w:val="00340B30"/>
    <w:rsid w:val="00340C3E"/>
    <w:rsid w:val="00341281"/>
    <w:rsid w:val="00342A17"/>
    <w:rsid w:val="00343A5D"/>
    <w:rsid w:val="00344205"/>
    <w:rsid w:val="0034487D"/>
    <w:rsid w:val="00344C79"/>
    <w:rsid w:val="00344FC9"/>
    <w:rsid w:val="00345620"/>
    <w:rsid w:val="003460EB"/>
    <w:rsid w:val="003467A6"/>
    <w:rsid w:val="00346E7D"/>
    <w:rsid w:val="00347056"/>
    <w:rsid w:val="003479EC"/>
    <w:rsid w:val="003504CA"/>
    <w:rsid w:val="00351436"/>
    <w:rsid w:val="00352173"/>
    <w:rsid w:val="003522E0"/>
    <w:rsid w:val="00353C65"/>
    <w:rsid w:val="00353D5D"/>
    <w:rsid w:val="00354225"/>
    <w:rsid w:val="00354248"/>
    <w:rsid w:val="00354863"/>
    <w:rsid w:val="00354DAB"/>
    <w:rsid w:val="00354F64"/>
    <w:rsid w:val="00355196"/>
    <w:rsid w:val="003555C2"/>
    <w:rsid w:val="003557EA"/>
    <w:rsid w:val="00355B4B"/>
    <w:rsid w:val="00356226"/>
    <w:rsid w:val="00356717"/>
    <w:rsid w:val="0035708E"/>
    <w:rsid w:val="00357502"/>
    <w:rsid w:val="003602F0"/>
    <w:rsid w:val="0036097D"/>
    <w:rsid w:val="00360BC7"/>
    <w:rsid w:val="00361843"/>
    <w:rsid w:val="00362007"/>
    <w:rsid w:val="003623C5"/>
    <w:rsid w:val="003628C0"/>
    <w:rsid w:val="00362A94"/>
    <w:rsid w:val="00362E16"/>
    <w:rsid w:val="00362E82"/>
    <w:rsid w:val="003644F6"/>
    <w:rsid w:val="0036469E"/>
    <w:rsid w:val="003659C6"/>
    <w:rsid w:val="00365DA5"/>
    <w:rsid w:val="00367FEE"/>
    <w:rsid w:val="00371A25"/>
    <w:rsid w:val="00371E20"/>
    <w:rsid w:val="00371F9C"/>
    <w:rsid w:val="0037281D"/>
    <w:rsid w:val="00372CE2"/>
    <w:rsid w:val="0037430F"/>
    <w:rsid w:val="00374C00"/>
    <w:rsid w:val="00374C4A"/>
    <w:rsid w:val="003752FE"/>
    <w:rsid w:val="00375424"/>
    <w:rsid w:val="00375755"/>
    <w:rsid w:val="00375E74"/>
    <w:rsid w:val="00375FD1"/>
    <w:rsid w:val="00380280"/>
    <w:rsid w:val="00380E95"/>
    <w:rsid w:val="00381B15"/>
    <w:rsid w:val="0038293D"/>
    <w:rsid w:val="00382DAD"/>
    <w:rsid w:val="003836E8"/>
    <w:rsid w:val="003842B3"/>
    <w:rsid w:val="0038486D"/>
    <w:rsid w:val="00386279"/>
    <w:rsid w:val="003866E6"/>
    <w:rsid w:val="00386C95"/>
    <w:rsid w:val="003904AF"/>
    <w:rsid w:val="00390678"/>
    <w:rsid w:val="00390AB1"/>
    <w:rsid w:val="00390DD7"/>
    <w:rsid w:val="00390E1F"/>
    <w:rsid w:val="00391D2D"/>
    <w:rsid w:val="00392609"/>
    <w:rsid w:val="0039379F"/>
    <w:rsid w:val="00395925"/>
    <w:rsid w:val="00395B06"/>
    <w:rsid w:val="00396AF4"/>
    <w:rsid w:val="00397344"/>
    <w:rsid w:val="003A0292"/>
    <w:rsid w:val="003A064E"/>
    <w:rsid w:val="003A0DAB"/>
    <w:rsid w:val="003A1312"/>
    <w:rsid w:val="003A2198"/>
    <w:rsid w:val="003A4088"/>
    <w:rsid w:val="003A424D"/>
    <w:rsid w:val="003A4636"/>
    <w:rsid w:val="003A4F81"/>
    <w:rsid w:val="003A5305"/>
    <w:rsid w:val="003A6D61"/>
    <w:rsid w:val="003A72E4"/>
    <w:rsid w:val="003B01FF"/>
    <w:rsid w:val="003B08B3"/>
    <w:rsid w:val="003B2307"/>
    <w:rsid w:val="003B242C"/>
    <w:rsid w:val="003B2BBC"/>
    <w:rsid w:val="003B2E89"/>
    <w:rsid w:val="003B49F2"/>
    <w:rsid w:val="003B52F3"/>
    <w:rsid w:val="003B55CF"/>
    <w:rsid w:val="003B59DF"/>
    <w:rsid w:val="003B5BE6"/>
    <w:rsid w:val="003B665B"/>
    <w:rsid w:val="003B7829"/>
    <w:rsid w:val="003C033C"/>
    <w:rsid w:val="003C1D78"/>
    <w:rsid w:val="003C2B57"/>
    <w:rsid w:val="003C2FE4"/>
    <w:rsid w:val="003C45FB"/>
    <w:rsid w:val="003C46ED"/>
    <w:rsid w:val="003C4AD5"/>
    <w:rsid w:val="003C53BD"/>
    <w:rsid w:val="003C579A"/>
    <w:rsid w:val="003C57D9"/>
    <w:rsid w:val="003C5F55"/>
    <w:rsid w:val="003C6D9D"/>
    <w:rsid w:val="003C7580"/>
    <w:rsid w:val="003D0E88"/>
    <w:rsid w:val="003D0F14"/>
    <w:rsid w:val="003D1FC9"/>
    <w:rsid w:val="003D2627"/>
    <w:rsid w:val="003D2BF8"/>
    <w:rsid w:val="003D30B8"/>
    <w:rsid w:val="003D3A62"/>
    <w:rsid w:val="003D4ED1"/>
    <w:rsid w:val="003D559D"/>
    <w:rsid w:val="003D5B12"/>
    <w:rsid w:val="003D5BA9"/>
    <w:rsid w:val="003D67C6"/>
    <w:rsid w:val="003D6FC3"/>
    <w:rsid w:val="003D7255"/>
    <w:rsid w:val="003D74DC"/>
    <w:rsid w:val="003E0468"/>
    <w:rsid w:val="003E0487"/>
    <w:rsid w:val="003E2272"/>
    <w:rsid w:val="003E281B"/>
    <w:rsid w:val="003E3CBE"/>
    <w:rsid w:val="003E52AC"/>
    <w:rsid w:val="003E570F"/>
    <w:rsid w:val="003E6821"/>
    <w:rsid w:val="003E7DFB"/>
    <w:rsid w:val="003F02E6"/>
    <w:rsid w:val="003F096F"/>
    <w:rsid w:val="003F0DBD"/>
    <w:rsid w:val="003F1471"/>
    <w:rsid w:val="003F1A3D"/>
    <w:rsid w:val="003F1D8D"/>
    <w:rsid w:val="003F41EE"/>
    <w:rsid w:val="003F49DE"/>
    <w:rsid w:val="003F69D6"/>
    <w:rsid w:val="003F74DD"/>
    <w:rsid w:val="003F78CE"/>
    <w:rsid w:val="00400733"/>
    <w:rsid w:val="004011CD"/>
    <w:rsid w:val="004014A8"/>
    <w:rsid w:val="00402171"/>
    <w:rsid w:val="004026AC"/>
    <w:rsid w:val="00402FA9"/>
    <w:rsid w:val="004030C2"/>
    <w:rsid w:val="00403B3F"/>
    <w:rsid w:val="0040695B"/>
    <w:rsid w:val="00406D81"/>
    <w:rsid w:val="004071C3"/>
    <w:rsid w:val="00407C32"/>
    <w:rsid w:val="00407C8B"/>
    <w:rsid w:val="004105CC"/>
    <w:rsid w:val="00410A54"/>
    <w:rsid w:val="004118C8"/>
    <w:rsid w:val="00411AE7"/>
    <w:rsid w:val="00412269"/>
    <w:rsid w:val="00412437"/>
    <w:rsid w:val="004138EF"/>
    <w:rsid w:val="004141E2"/>
    <w:rsid w:val="0041431F"/>
    <w:rsid w:val="00414381"/>
    <w:rsid w:val="004144FC"/>
    <w:rsid w:val="004147DE"/>
    <w:rsid w:val="0041493D"/>
    <w:rsid w:val="00414AB8"/>
    <w:rsid w:val="00414DB0"/>
    <w:rsid w:val="004154E3"/>
    <w:rsid w:val="00416084"/>
    <w:rsid w:val="0041608B"/>
    <w:rsid w:val="0041678B"/>
    <w:rsid w:val="0041745C"/>
    <w:rsid w:val="0042039C"/>
    <w:rsid w:val="004206F4"/>
    <w:rsid w:val="004210A5"/>
    <w:rsid w:val="004218EB"/>
    <w:rsid w:val="00422F25"/>
    <w:rsid w:val="00423882"/>
    <w:rsid w:val="00426E77"/>
    <w:rsid w:val="004270F3"/>
    <w:rsid w:val="00427B46"/>
    <w:rsid w:val="004301AE"/>
    <w:rsid w:val="004306B9"/>
    <w:rsid w:val="00431195"/>
    <w:rsid w:val="0043166A"/>
    <w:rsid w:val="00431BAF"/>
    <w:rsid w:val="00433403"/>
    <w:rsid w:val="00435356"/>
    <w:rsid w:val="004354E0"/>
    <w:rsid w:val="00435782"/>
    <w:rsid w:val="00435C5E"/>
    <w:rsid w:val="00435D67"/>
    <w:rsid w:val="00436309"/>
    <w:rsid w:val="004373BB"/>
    <w:rsid w:val="0043799B"/>
    <w:rsid w:val="00437F3E"/>
    <w:rsid w:val="0044300C"/>
    <w:rsid w:val="0044312C"/>
    <w:rsid w:val="004431A9"/>
    <w:rsid w:val="004436A8"/>
    <w:rsid w:val="0044390B"/>
    <w:rsid w:val="004444CF"/>
    <w:rsid w:val="00444C22"/>
    <w:rsid w:val="00445B53"/>
    <w:rsid w:val="00446A0D"/>
    <w:rsid w:val="004479F3"/>
    <w:rsid w:val="00447A8F"/>
    <w:rsid w:val="00447B67"/>
    <w:rsid w:val="0045014B"/>
    <w:rsid w:val="00450661"/>
    <w:rsid w:val="00450998"/>
    <w:rsid w:val="00451175"/>
    <w:rsid w:val="004520C5"/>
    <w:rsid w:val="00455780"/>
    <w:rsid w:val="00455B18"/>
    <w:rsid w:val="00455B3D"/>
    <w:rsid w:val="0045671D"/>
    <w:rsid w:val="00456EF2"/>
    <w:rsid w:val="00456F2E"/>
    <w:rsid w:val="0046086B"/>
    <w:rsid w:val="00460AE7"/>
    <w:rsid w:val="00461CBE"/>
    <w:rsid w:val="004632E5"/>
    <w:rsid w:val="00463FEB"/>
    <w:rsid w:val="004641BA"/>
    <w:rsid w:val="00465DAB"/>
    <w:rsid w:val="004662F6"/>
    <w:rsid w:val="00470EE1"/>
    <w:rsid w:val="0047348E"/>
    <w:rsid w:val="004736B9"/>
    <w:rsid w:val="00473D34"/>
    <w:rsid w:val="004752F7"/>
    <w:rsid w:val="00475498"/>
    <w:rsid w:val="004754E2"/>
    <w:rsid w:val="00475614"/>
    <w:rsid w:val="004758AC"/>
    <w:rsid w:val="00476BBD"/>
    <w:rsid w:val="00476C37"/>
    <w:rsid w:val="0048227B"/>
    <w:rsid w:val="004824C3"/>
    <w:rsid w:val="00482CEF"/>
    <w:rsid w:val="00485964"/>
    <w:rsid w:val="00486015"/>
    <w:rsid w:val="0048651B"/>
    <w:rsid w:val="004875EE"/>
    <w:rsid w:val="00487757"/>
    <w:rsid w:val="004877E5"/>
    <w:rsid w:val="00487EF3"/>
    <w:rsid w:val="004908BD"/>
    <w:rsid w:val="0049098E"/>
    <w:rsid w:val="004919EF"/>
    <w:rsid w:val="00491CC1"/>
    <w:rsid w:val="004923B2"/>
    <w:rsid w:val="004937F3"/>
    <w:rsid w:val="00493AA3"/>
    <w:rsid w:val="00494198"/>
    <w:rsid w:val="004943B9"/>
    <w:rsid w:val="0049492F"/>
    <w:rsid w:val="00494D19"/>
    <w:rsid w:val="00495B2C"/>
    <w:rsid w:val="00495DF0"/>
    <w:rsid w:val="00496234"/>
    <w:rsid w:val="004968F4"/>
    <w:rsid w:val="00496DF7"/>
    <w:rsid w:val="0049700F"/>
    <w:rsid w:val="0049738D"/>
    <w:rsid w:val="004979D1"/>
    <w:rsid w:val="00497D1D"/>
    <w:rsid w:val="004A0CB5"/>
    <w:rsid w:val="004A16BD"/>
    <w:rsid w:val="004A1F0C"/>
    <w:rsid w:val="004A3416"/>
    <w:rsid w:val="004A3AAD"/>
    <w:rsid w:val="004A3E38"/>
    <w:rsid w:val="004A416F"/>
    <w:rsid w:val="004A45F5"/>
    <w:rsid w:val="004A4821"/>
    <w:rsid w:val="004A628F"/>
    <w:rsid w:val="004B11DA"/>
    <w:rsid w:val="004B4138"/>
    <w:rsid w:val="004B47B9"/>
    <w:rsid w:val="004B5291"/>
    <w:rsid w:val="004B5D53"/>
    <w:rsid w:val="004B5E18"/>
    <w:rsid w:val="004B6D6F"/>
    <w:rsid w:val="004B741A"/>
    <w:rsid w:val="004C0639"/>
    <w:rsid w:val="004C1102"/>
    <w:rsid w:val="004C24AE"/>
    <w:rsid w:val="004C28F8"/>
    <w:rsid w:val="004C30A9"/>
    <w:rsid w:val="004C3339"/>
    <w:rsid w:val="004C3996"/>
    <w:rsid w:val="004C3BC6"/>
    <w:rsid w:val="004C547D"/>
    <w:rsid w:val="004C5D97"/>
    <w:rsid w:val="004C66A2"/>
    <w:rsid w:val="004C6B7B"/>
    <w:rsid w:val="004D072A"/>
    <w:rsid w:val="004D0AEE"/>
    <w:rsid w:val="004D1152"/>
    <w:rsid w:val="004D1157"/>
    <w:rsid w:val="004D14FB"/>
    <w:rsid w:val="004D184C"/>
    <w:rsid w:val="004D2810"/>
    <w:rsid w:val="004D2E24"/>
    <w:rsid w:val="004D364B"/>
    <w:rsid w:val="004D3EE9"/>
    <w:rsid w:val="004D6056"/>
    <w:rsid w:val="004D61FC"/>
    <w:rsid w:val="004D6674"/>
    <w:rsid w:val="004D7130"/>
    <w:rsid w:val="004D76B8"/>
    <w:rsid w:val="004E1E1A"/>
    <w:rsid w:val="004E2BD6"/>
    <w:rsid w:val="004E2F98"/>
    <w:rsid w:val="004E3AD0"/>
    <w:rsid w:val="004E4D14"/>
    <w:rsid w:val="004E509B"/>
    <w:rsid w:val="004E555D"/>
    <w:rsid w:val="004E5D78"/>
    <w:rsid w:val="004E6918"/>
    <w:rsid w:val="004E736C"/>
    <w:rsid w:val="004F16E9"/>
    <w:rsid w:val="004F173D"/>
    <w:rsid w:val="004F22A1"/>
    <w:rsid w:val="004F22FF"/>
    <w:rsid w:val="004F3061"/>
    <w:rsid w:val="004F35D1"/>
    <w:rsid w:val="004F37ED"/>
    <w:rsid w:val="004F40AF"/>
    <w:rsid w:val="004F5118"/>
    <w:rsid w:val="004F63A5"/>
    <w:rsid w:val="004F6561"/>
    <w:rsid w:val="004F75F1"/>
    <w:rsid w:val="004F7A73"/>
    <w:rsid w:val="004F7E8A"/>
    <w:rsid w:val="005004FC"/>
    <w:rsid w:val="005053C3"/>
    <w:rsid w:val="00506293"/>
    <w:rsid w:val="00506A63"/>
    <w:rsid w:val="005119B5"/>
    <w:rsid w:val="005126B2"/>
    <w:rsid w:val="00512B54"/>
    <w:rsid w:val="00513B5B"/>
    <w:rsid w:val="00513B6B"/>
    <w:rsid w:val="00514DE7"/>
    <w:rsid w:val="00515C57"/>
    <w:rsid w:val="0051620E"/>
    <w:rsid w:val="00516C87"/>
    <w:rsid w:val="00517057"/>
    <w:rsid w:val="00520A11"/>
    <w:rsid w:val="005211F6"/>
    <w:rsid w:val="0052142E"/>
    <w:rsid w:val="0052481B"/>
    <w:rsid w:val="00524EC3"/>
    <w:rsid w:val="005250E6"/>
    <w:rsid w:val="005253DD"/>
    <w:rsid w:val="005256FF"/>
    <w:rsid w:val="0052648E"/>
    <w:rsid w:val="005266E2"/>
    <w:rsid w:val="0052686E"/>
    <w:rsid w:val="00527B1B"/>
    <w:rsid w:val="00527EBF"/>
    <w:rsid w:val="00527F01"/>
    <w:rsid w:val="00527FF2"/>
    <w:rsid w:val="0053051F"/>
    <w:rsid w:val="00530F61"/>
    <w:rsid w:val="005321B7"/>
    <w:rsid w:val="00532B02"/>
    <w:rsid w:val="00533E46"/>
    <w:rsid w:val="00533F14"/>
    <w:rsid w:val="005342D7"/>
    <w:rsid w:val="005350A9"/>
    <w:rsid w:val="00535388"/>
    <w:rsid w:val="00535986"/>
    <w:rsid w:val="00536EDF"/>
    <w:rsid w:val="00537666"/>
    <w:rsid w:val="00537E93"/>
    <w:rsid w:val="00541661"/>
    <w:rsid w:val="00542CC2"/>
    <w:rsid w:val="005432EA"/>
    <w:rsid w:val="00544175"/>
    <w:rsid w:val="00544C53"/>
    <w:rsid w:val="00544C6F"/>
    <w:rsid w:val="00544FA5"/>
    <w:rsid w:val="005457B3"/>
    <w:rsid w:val="005464CB"/>
    <w:rsid w:val="0054666A"/>
    <w:rsid w:val="00546D4E"/>
    <w:rsid w:val="005471E4"/>
    <w:rsid w:val="00547345"/>
    <w:rsid w:val="005507FA"/>
    <w:rsid w:val="005509AA"/>
    <w:rsid w:val="00550C25"/>
    <w:rsid w:val="00550C45"/>
    <w:rsid w:val="00551779"/>
    <w:rsid w:val="00551ED4"/>
    <w:rsid w:val="00552E82"/>
    <w:rsid w:val="0055421C"/>
    <w:rsid w:val="005544D3"/>
    <w:rsid w:val="00554FB6"/>
    <w:rsid w:val="005559A1"/>
    <w:rsid w:val="0055751B"/>
    <w:rsid w:val="0056070E"/>
    <w:rsid w:val="00561CE1"/>
    <w:rsid w:val="00561E36"/>
    <w:rsid w:val="00561E5D"/>
    <w:rsid w:val="005628F8"/>
    <w:rsid w:val="0056347A"/>
    <w:rsid w:val="00563600"/>
    <w:rsid w:val="0057049D"/>
    <w:rsid w:val="00570D4E"/>
    <w:rsid w:val="00572D07"/>
    <w:rsid w:val="00573C4E"/>
    <w:rsid w:val="00573D9C"/>
    <w:rsid w:val="00576374"/>
    <w:rsid w:val="00576670"/>
    <w:rsid w:val="005776AC"/>
    <w:rsid w:val="005776CE"/>
    <w:rsid w:val="0058089D"/>
    <w:rsid w:val="00581506"/>
    <w:rsid w:val="0058219D"/>
    <w:rsid w:val="00582BE0"/>
    <w:rsid w:val="00583324"/>
    <w:rsid w:val="0058333A"/>
    <w:rsid w:val="0058385B"/>
    <w:rsid w:val="00583A42"/>
    <w:rsid w:val="00584232"/>
    <w:rsid w:val="00584404"/>
    <w:rsid w:val="0058718F"/>
    <w:rsid w:val="00587AEA"/>
    <w:rsid w:val="00590789"/>
    <w:rsid w:val="00590A2C"/>
    <w:rsid w:val="00590A2F"/>
    <w:rsid w:val="00590FAB"/>
    <w:rsid w:val="0059252E"/>
    <w:rsid w:val="00592A3F"/>
    <w:rsid w:val="00592F8A"/>
    <w:rsid w:val="0059364E"/>
    <w:rsid w:val="005941CA"/>
    <w:rsid w:val="005954A3"/>
    <w:rsid w:val="005962CF"/>
    <w:rsid w:val="00596E30"/>
    <w:rsid w:val="0059714E"/>
    <w:rsid w:val="00597662"/>
    <w:rsid w:val="005A09AC"/>
    <w:rsid w:val="005A1B91"/>
    <w:rsid w:val="005A1DBD"/>
    <w:rsid w:val="005A217C"/>
    <w:rsid w:val="005A3145"/>
    <w:rsid w:val="005A333D"/>
    <w:rsid w:val="005A35AB"/>
    <w:rsid w:val="005A3D76"/>
    <w:rsid w:val="005A4D55"/>
    <w:rsid w:val="005A5096"/>
    <w:rsid w:val="005A5101"/>
    <w:rsid w:val="005A595B"/>
    <w:rsid w:val="005A6B68"/>
    <w:rsid w:val="005A720D"/>
    <w:rsid w:val="005B03A6"/>
    <w:rsid w:val="005B07BF"/>
    <w:rsid w:val="005B3C66"/>
    <w:rsid w:val="005B4081"/>
    <w:rsid w:val="005B471C"/>
    <w:rsid w:val="005C17BB"/>
    <w:rsid w:val="005C21CB"/>
    <w:rsid w:val="005C2222"/>
    <w:rsid w:val="005C2665"/>
    <w:rsid w:val="005C3871"/>
    <w:rsid w:val="005C3A4E"/>
    <w:rsid w:val="005C3F44"/>
    <w:rsid w:val="005C4288"/>
    <w:rsid w:val="005C59D3"/>
    <w:rsid w:val="005C5C27"/>
    <w:rsid w:val="005C6114"/>
    <w:rsid w:val="005C675C"/>
    <w:rsid w:val="005C69E4"/>
    <w:rsid w:val="005C6E55"/>
    <w:rsid w:val="005C7124"/>
    <w:rsid w:val="005C72D5"/>
    <w:rsid w:val="005C7E4B"/>
    <w:rsid w:val="005D0D5F"/>
    <w:rsid w:val="005D19F9"/>
    <w:rsid w:val="005D1FA9"/>
    <w:rsid w:val="005D257C"/>
    <w:rsid w:val="005D38E3"/>
    <w:rsid w:val="005D5089"/>
    <w:rsid w:val="005D5AC1"/>
    <w:rsid w:val="005D60AE"/>
    <w:rsid w:val="005D69B3"/>
    <w:rsid w:val="005D6EA9"/>
    <w:rsid w:val="005D76B4"/>
    <w:rsid w:val="005E063F"/>
    <w:rsid w:val="005E07BF"/>
    <w:rsid w:val="005E0940"/>
    <w:rsid w:val="005E1605"/>
    <w:rsid w:val="005E1C4C"/>
    <w:rsid w:val="005E1DD8"/>
    <w:rsid w:val="005E3D30"/>
    <w:rsid w:val="005E3E80"/>
    <w:rsid w:val="005E4E7B"/>
    <w:rsid w:val="005E5522"/>
    <w:rsid w:val="005E592B"/>
    <w:rsid w:val="005E6399"/>
    <w:rsid w:val="005E77AE"/>
    <w:rsid w:val="005F09D6"/>
    <w:rsid w:val="005F1218"/>
    <w:rsid w:val="005F157B"/>
    <w:rsid w:val="005F166E"/>
    <w:rsid w:val="005F1825"/>
    <w:rsid w:val="005F1AF5"/>
    <w:rsid w:val="005F22F6"/>
    <w:rsid w:val="005F23A0"/>
    <w:rsid w:val="005F265D"/>
    <w:rsid w:val="005F46AF"/>
    <w:rsid w:val="005F5496"/>
    <w:rsid w:val="005F5A86"/>
    <w:rsid w:val="005F5F0C"/>
    <w:rsid w:val="005F7072"/>
    <w:rsid w:val="005F75EB"/>
    <w:rsid w:val="00600473"/>
    <w:rsid w:val="006004E9"/>
    <w:rsid w:val="006005DA"/>
    <w:rsid w:val="0060306F"/>
    <w:rsid w:val="00603BA0"/>
    <w:rsid w:val="00604EEB"/>
    <w:rsid w:val="00605F66"/>
    <w:rsid w:val="0060706E"/>
    <w:rsid w:val="006072EF"/>
    <w:rsid w:val="006077A4"/>
    <w:rsid w:val="006104B5"/>
    <w:rsid w:val="0061081B"/>
    <w:rsid w:val="00610F83"/>
    <w:rsid w:val="00611A49"/>
    <w:rsid w:val="00611AC2"/>
    <w:rsid w:val="00612B37"/>
    <w:rsid w:val="00612E4A"/>
    <w:rsid w:val="006131D2"/>
    <w:rsid w:val="0061517C"/>
    <w:rsid w:val="0061518B"/>
    <w:rsid w:val="00615198"/>
    <w:rsid w:val="00617272"/>
    <w:rsid w:val="0061735D"/>
    <w:rsid w:val="00620104"/>
    <w:rsid w:val="006211EF"/>
    <w:rsid w:val="006212EB"/>
    <w:rsid w:val="0062185B"/>
    <w:rsid w:val="006218F9"/>
    <w:rsid w:val="006228EA"/>
    <w:rsid w:val="00623665"/>
    <w:rsid w:val="006236CE"/>
    <w:rsid w:val="00624F59"/>
    <w:rsid w:val="0062552F"/>
    <w:rsid w:val="00627353"/>
    <w:rsid w:val="0062799B"/>
    <w:rsid w:val="00630C7D"/>
    <w:rsid w:val="00630EBA"/>
    <w:rsid w:val="00631099"/>
    <w:rsid w:val="006324E3"/>
    <w:rsid w:val="00633E74"/>
    <w:rsid w:val="006354FC"/>
    <w:rsid w:val="00636E02"/>
    <w:rsid w:val="0064022E"/>
    <w:rsid w:val="00640859"/>
    <w:rsid w:val="00640F09"/>
    <w:rsid w:val="0064129A"/>
    <w:rsid w:val="00641323"/>
    <w:rsid w:val="00642053"/>
    <w:rsid w:val="00642E9F"/>
    <w:rsid w:val="00646BAE"/>
    <w:rsid w:val="00646D8D"/>
    <w:rsid w:val="006472F5"/>
    <w:rsid w:val="00647C23"/>
    <w:rsid w:val="0065033F"/>
    <w:rsid w:val="00650A5E"/>
    <w:rsid w:val="00651618"/>
    <w:rsid w:val="00651A8C"/>
    <w:rsid w:val="00652244"/>
    <w:rsid w:val="00652B41"/>
    <w:rsid w:val="00652B92"/>
    <w:rsid w:val="00653E7D"/>
    <w:rsid w:val="00653F49"/>
    <w:rsid w:val="00654A8C"/>
    <w:rsid w:val="00654D62"/>
    <w:rsid w:val="00655E95"/>
    <w:rsid w:val="006566C0"/>
    <w:rsid w:val="00660210"/>
    <w:rsid w:val="006603DB"/>
    <w:rsid w:val="00661076"/>
    <w:rsid w:val="0066143D"/>
    <w:rsid w:val="006616FD"/>
    <w:rsid w:val="00662C1E"/>
    <w:rsid w:val="00662CA0"/>
    <w:rsid w:val="00662DBC"/>
    <w:rsid w:val="00663153"/>
    <w:rsid w:val="00664BCB"/>
    <w:rsid w:val="00664EDB"/>
    <w:rsid w:val="00665EEB"/>
    <w:rsid w:val="00667D8D"/>
    <w:rsid w:val="006706CD"/>
    <w:rsid w:val="00670C69"/>
    <w:rsid w:val="006718D7"/>
    <w:rsid w:val="00671942"/>
    <w:rsid w:val="00671C1E"/>
    <w:rsid w:val="00672DD2"/>
    <w:rsid w:val="006732F4"/>
    <w:rsid w:val="006735D1"/>
    <w:rsid w:val="00674425"/>
    <w:rsid w:val="00674B63"/>
    <w:rsid w:val="00675A27"/>
    <w:rsid w:val="0067631C"/>
    <w:rsid w:val="00677871"/>
    <w:rsid w:val="00677CB4"/>
    <w:rsid w:val="0068030A"/>
    <w:rsid w:val="0068051A"/>
    <w:rsid w:val="0068054C"/>
    <w:rsid w:val="00680D3B"/>
    <w:rsid w:val="00681455"/>
    <w:rsid w:val="006816DC"/>
    <w:rsid w:val="0068181F"/>
    <w:rsid w:val="006819E5"/>
    <w:rsid w:val="00684D7B"/>
    <w:rsid w:val="00685251"/>
    <w:rsid w:val="00685554"/>
    <w:rsid w:val="006867E7"/>
    <w:rsid w:val="0068701F"/>
    <w:rsid w:val="0068793C"/>
    <w:rsid w:val="00687EC7"/>
    <w:rsid w:val="00690C31"/>
    <w:rsid w:val="00691941"/>
    <w:rsid w:val="00691E0E"/>
    <w:rsid w:val="0069240F"/>
    <w:rsid w:val="00693EB7"/>
    <w:rsid w:val="00694424"/>
    <w:rsid w:val="0069474F"/>
    <w:rsid w:val="006951D0"/>
    <w:rsid w:val="00695693"/>
    <w:rsid w:val="00695C30"/>
    <w:rsid w:val="006970B5"/>
    <w:rsid w:val="006974E1"/>
    <w:rsid w:val="00697FC8"/>
    <w:rsid w:val="006A0F3E"/>
    <w:rsid w:val="006A1236"/>
    <w:rsid w:val="006A35FF"/>
    <w:rsid w:val="006A4569"/>
    <w:rsid w:val="006A477F"/>
    <w:rsid w:val="006A508F"/>
    <w:rsid w:val="006A52F6"/>
    <w:rsid w:val="006A5AB5"/>
    <w:rsid w:val="006A6690"/>
    <w:rsid w:val="006A6BB9"/>
    <w:rsid w:val="006A6FAE"/>
    <w:rsid w:val="006A7409"/>
    <w:rsid w:val="006A75EF"/>
    <w:rsid w:val="006B0B30"/>
    <w:rsid w:val="006B0E77"/>
    <w:rsid w:val="006B1C39"/>
    <w:rsid w:val="006B207B"/>
    <w:rsid w:val="006B270E"/>
    <w:rsid w:val="006B2743"/>
    <w:rsid w:val="006B2757"/>
    <w:rsid w:val="006B2F60"/>
    <w:rsid w:val="006B63E4"/>
    <w:rsid w:val="006B6BED"/>
    <w:rsid w:val="006C0C78"/>
    <w:rsid w:val="006C0CA9"/>
    <w:rsid w:val="006C0FDF"/>
    <w:rsid w:val="006C1721"/>
    <w:rsid w:val="006C17E8"/>
    <w:rsid w:val="006C1F96"/>
    <w:rsid w:val="006C2066"/>
    <w:rsid w:val="006C29B1"/>
    <w:rsid w:val="006C30B9"/>
    <w:rsid w:val="006C3342"/>
    <w:rsid w:val="006C3871"/>
    <w:rsid w:val="006C3AC9"/>
    <w:rsid w:val="006C414D"/>
    <w:rsid w:val="006C4341"/>
    <w:rsid w:val="006C4C79"/>
    <w:rsid w:val="006C5550"/>
    <w:rsid w:val="006C5727"/>
    <w:rsid w:val="006C5946"/>
    <w:rsid w:val="006C6AEC"/>
    <w:rsid w:val="006C6AFF"/>
    <w:rsid w:val="006C7895"/>
    <w:rsid w:val="006C7C99"/>
    <w:rsid w:val="006D05FD"/>
    <w:rsid w:val="006D15D2"/>
    <w:rsid w:val="006D1C8C"/>
    <w:rsid w:val="006D22EC"/>
    <w:rsid w:val="006D23C0"/>
    <w:rsid w:val="006D2545"/>
    <w:rsid w:val="006D3A75"/>
    <w:rsid w:val="006D3FD9"/>
    <w:rsid w:val="006D417C"/>
    <w:rsid w:val="006D4AC7"/>
    <w:rsid w:val="006D5BF7"/>
    <w:rsid w:val="006D5D66"/>
    <w:rsid w:val="006D629A"/>
    <w:rsid w:val="006D635B"/>
    <w:rsid w:val="006D63B1"/>
    <w:rsid w:val="006D6CD6"/>
    <w:rsid w:val="006D7040"/>
    <w:rsid w:val="006E028C"/>
    <w:rsid w:val="006E0D9A"/>
    <w:rsid w:val="006E217F"/>
    <w:rsid w:val="006E221A"/>
    <w:rsid w:val="006E223C"/>
    <w:rsid w:val="006E34E8"/>
    <w:rsid w:val="006E3905"/>
    <w:rsid w:val="006E3AC9"/>
    <w:rsid w:val="006E3C59"/>
    <w:rsid w:val="006E41BE"/>
    <w:rsid w:val="006E4449"/>
    <w:rsid w:val="006E5448"/>
    <w:rsid w:val="006E5A8D"/>
    <w:rsid w:val="006E6FBD"/>
    <w:rsid w:val="006E727C"/>
    <w:rsid w:val="006E74E5"/>
    <w:rsid w:val="006E7E29"/>
    <w:rsid w:val="006E7E31"/>
    <w:rsid w:val="006F02F5"/>
    <w:rsid w:val="006F2578"/>
    <w:rsid w:val="006F290A"/>
    <w:rsid w:val="006F323A"/>
    <w:rsid w:val="006F355C"/>
    <w:rsid w:val="006F3A20"/>
    <w:rsid w:val="006F4E86"/>
    <w:rsid w:val="006F512C"/>
    <w:rsid w:val="006F5300"/>
    <w:rsid w:val="006F5A09"/>
    <w:rsid w:val="00700106"/>
    <w:rsid w:val="007018D1"/>
    <w:rsid w:val="0070350F"/>
    <w:rsid w:val="00704253"/>
    <w:rsid w:val="007045A7"/>
    <w:rsid w:val="007049D0"/>
    <w:rsid w:val="00706629"/>
    <w:rsid w:val="00706654"/>
    <w:rsid w:val="00706776"/>
    <w:rsid w:val="0070702C"/>
    <w:rsid w:val="00707171"/>
    <w:rsid w:val="00710FF9"/>
    <w:rsid w:val="007130C6"/>
    <w:rsid w:val="00713CF0"/>
    <w:rsid w:val="00713D88"/>
    <w:rsid w:val="007145A2"/>
    <w:rsid w:val="007148A6"/>
    <w:rsid w:val="00714BDA"/>
    <w:rsid w:val="00715B64"/>
    <w:rsid w:val="00717230"/>
    <w:rsid w:val="00721BA7"/>
    <w:rsid w:val="00722AD1"/>
    <w:rsid w:val="00723E97"/>
    <w:rsid w:val="00723F2C"/>
    <w:rsid w:val="00724030"/>
    <w:rsid w:val="0072457E"/>
    <w:rsid w:val="00724BF1"/>
    <w:rsid w:val="00725AC4"/>
    <w:rsid w:val="00725FA8"/>
    <w:rsid w:val="0072608C"/>
    <w:rsid w:val="00726A5B"/>
    <w:rsid w:val="00726F8B"/>
    <w:rsid w:val="00727662"/>
    <w:rsid w:val="0073016B"/>
    <w:rsid w:val="0073127E"/>
    <w:rsid w:val="007312C1"/>
    <w:rsid w:val="00732680"/>
    <w:rsid w:val="00732700"/>
    <w:rsid w:val="00732D99"/>
    <w:rsid w:val="007338FE"/>
    <w:rsid w:val="00734597"/>
    <w:rsid w:val="007353A8"/>
    <w:rsid w:val="007368F5"/>
    <w:rsid w:val="00736CA1"/>
    <w:rsid w:val="00737380"/>
    <w:rsid w:val="00737FC3"/>
    <w:rsid w:val="0074086C"/>
    <w:rsid w:val="00740D6C"/>
    <w:rsid w:val="00741774"/>
    <w:rsid w:val="00741AF8"/>
    <w:rsid w:val="00742DF1"/>
    <w:rsid w:val="007452F9"/>
    <w:rsid w:val="00747148"/>
    <w:rsid w:val="0074733F"/>
    <w:rsid w:val="007474D2"/>
    <w:rsid w:val="007478CC"/>
    <w:rsid w:val="00750D2A"/>
    <w:rsid w:val="0075191D"/>
    <w:rsid w:val="00751D53"/>
    <w:rsid w:val="0075307C"/>
    <w:rsid w:val="00753885"/>
    <w:rsid w:val="00754811"/>
    <w:rsid w:val="00754EF6"/>
    <w:rsid w:val="00755420"/>
    <w:rsid w:val="007566AF"/>
    <w:rsid w:val="007567EC"/>
    <w:rsid w:val="00756BB5"/>
    <w:rsid w:val="00757646"/>
    <w:rsid w:val="00761A29"/>
    <w:rsid w:val="00762219"/>
    <w:rsid w:val="0076255A"/>
    <w:rsid w:val="00762585"/>
    <w:rsid w:val="00764767"/>
    <w:rsid w:val="007647E6"/>
    <w:rsid w:val="0076495B"/>
    <w:rsid w:val="00764BC6"/>
    <w:rsid w:val="00764DF7"/>
    <w:rsid w:val="0076529C"/>
    <w:rsid w:val="00765A1D"/>
    <w:rsid w:val="007662AC"/>
    <w:rsid w:val="00766E05"/>
    <w:rsid w:val="00767116"/>
    <w:rsid w:val="007671F8"/>
    <w:rsid w:val="0076731F"/>
    <w:rsid w:val="007675E7"/>
    <w:rsid w:val="00767677"/>
    <w:rsid w:val="007678E1"/>
    <w:rsid w:val="00770FF6"/>
    <w:rsid w:val="007715E5"/>
    <w:rsid w:val="00772DED"/>
    <w:rsid w:val="00773D66"/>
    <w:rsid w:val="00774712"/>
    <w:rsid w:val="0077613A"/>
    <w:rsid w:val="00776897"/>
    <w:rsid w:val="00776912"/>
    <w:rsid w:val="007778BE"/>
    <w:rsid w:val="007804F5"/>
    <w:rsid w:val="007806A7"/>
    <w:rsid w:val="00780FD7"/>
    <w:rsid w:val="00781A98"/>
    <w:rsid w:val="00781FCB"/>
    <w:rsid w:val="00782121"/>
    <w:rsid w:val="0078214A"/>
    <w:rsid w:val="00782309"/>
    <w:rsid w:val="00783408"/>
    <w:rsid w:val="0078398B"/>
    <w:rsid w:val="00783A2D"/>
    <w:rsid w:val="00783A38"/>
    <w:rsid w:val="00784F1B"/>
    <w:rsid w:val="00784FDB"/>
    <w:rsid w:val="007852D5"/>
    <w:rsid w:val="007855DA"/>
    <w:rsid w:val="0078691C"/>
    <w:rsid w:val="00786D81"/>
    <w:rsid w:val="007871BC"/>
    <w:rsid w:val="00787771"/>
    <w:rsid w:val="007902BF"/>
    <w:rsid w:val="00790FA6"/>
    <w:rsid w:val="00791039"/>
    <w:rsid w:val="00791081"/>
    <w:rsid w:val="00792C82"/>
    <w:rsid w:val="00793109"/>
    <w:rsid w:val="00794693"/>
    <w:rsid w:val="0079594C"/>
    <w:rsid w:val="007969E9"/>
    <w:rsid w:val="00797181"/>
    <w:rsid w:val="00797737"/>
    <w:rsid w:val="00797A38"/>
    <w:rsid w:val="007A05F4"/>
    <w:rsid w:val="007A1BE8"/>
    <w:rsid w:val="007A1FFC"/>
    <w:rsid w:val="007A3B9F"/>
    <w:rsid w:val="007A4443"/>
    <w:rsid w:val="007A5859"/>
    <w:rsid w:val="007A5D32"/>
    <w:rsid w:val="007A651A"/>
    <w:rsid w:val="007A655D"/>
    <w:rsid w:val="007A65BE"/>
    <w:rsid w:val="007A70C3"/>
    <w:rsid w:val="007A7412"/>
    <w:rsid w:val="007A7493"/>
    <w:rsid w:val="007A7593"/>
    <w:rsid w:val="007A7FA4"/>
    <w:rsid w:val="007B13AD"/>
    <w:rsid w:val="007B1DDE"/>
    <w:rsid w:val="007B2854"/>
    <w:rsid w:val="007B3001"/>
    <w:rsid w:val="007B322B"/>
    <w:rsid w:val="007B607E"/>
    <w:rsid w:val="007B643F"/>
    <w:rsid w:val="007B6BED"/>
    <w:rsid w:val="007B6C1F"/>
    <w:rsid w:val="007B7187"/>
    <w:rsid w:val="007B7532"/>
    <w:rsid w:val="007B75E4"/>
    <w:rsid w:val="007C0002"/>
    <w:rsid w:val="007C18D8"/>
    <w:rsid w:val="007C37E0"/>
    <w:rsid w:val="007C3D68"/>
    <w:rsid w:val="007C3DD8"/>
    <w:rsid w:val="007C3FEF"/>
    <w:rsid w:val="007C40FF"/>
    <w:rsid w:val="007C4516"/>
    <w:rsid w:val="007C576C"/>
    <w:rsid w:val="007C641F"/>
    <w:rsid w:val="007C6D68"/>
    <w:rsid w:val="007C6EE1"/>
    <w:rsid w:val="007C6F63"/>
    <w:rsid w:val="007C72AB"/>
    <w:rsid w:val="007D057D"/>
    <w:rsid w:val="007D0881"/>
    <w:rsid w:val="007D2227"/>
    <w:rsid w:val="007D25FE"/>
    <w:rsid w:val="007D28AE"/>
    <w:rsid w:val="007D3AD1"/>
    <w:rsid w:val="007D4251"/>
    <w:rsid w:val="007D49F6"/>
    <w:rsid w:val="007D5829"/>
    <w:rsid w:val="007E02A4"/>
    <w:rsid w:val="007E0AB8"/>
    <w:rsid w:val="007E0BA0"/>
    <w:rsid w:val="007E205C"/>
    <w:rsid w:val="007E2F91"/>
    <w:rsid w:val="007E4031"/>
    <w:rsid w:val="007E5639"/>
    <w:rsid w:val="007E6150"/>
    <w:rsid w:val="007E6AD0"/>
    <w:rsid w:val="007E70CE"/>
    <w:rsid w:val="007F0207"/>
    <w:rsid w:val="007F0A15"/>
    <w:rsid w:val="007F0C6A"/>
    <w:rsid w:val="007F0C96"/>
    <w:rsid w:val="007F0E53"/>
    <w:rsid w:val="007F1C07"/>
    <w:rsid w:val="007F26CF"/>
    <w:rsid w:val="007F2979"/>
    <w:rsid w:val="007F5CF3"/>
    <w:rsid w:val="007F5ECB"/>
    <w:rsid w:val="007F5FF4"/>
    <w:rsid w:val="007F67A1"/>
    <w:rsid w:val="007F7E3C"/>
    <w:rsid w:val="008015A2"/>
    <w:rsid w:val="008015D0"/>
    <w:rsid w:val="0080198D"/>
    <w:rsid w:val="00801E0F"/>
    <w:rsid w:val="008026D7"/>
    <w:rsid w:val="00802E04"/>
    <w:rsid w:val="00803F3D"/>
    <w:rsid w:val="008049CB"/>
    <w:rsid w:val="00804FB2"/>
    <w:rsid w:val="00805180"/>
    <w:rsid w:val="00806ECD"/>
    <w:rsid w:val="00807079"/>
    <w:rsid w:val="0080717E"/>
    <w:rsid w:val="00810420"/>
    <w:rsid w:val="00810B9C"/>
    <w:rsid w:val="00810C7D"/>
    <w:rsid w:val="008113AA"/>
    <w:rsid w:val="00812122"/>
    <w:rsid w:val="008122F9"/>
    <w:rsid w:val="00812EFF"/>
    <w:rsid w:val="00814108"/>
    <w:rsid w:val="00814E34"/>
    <w:rsid w:val="008151C2"/>
    <w:rsid w:val="008159B8"/>
    <w:rsid w:val="00815DDD"/>
    <w:rsid w:val="008164D9"/>
    <w:rsid w:val="0081739F"/>
    <w:rsid w:val="00817425"/>
    <w:rsid w:val="00817CB8"/>
    <w:rsid w:val="00817E51"/>
    <w:rsid w:val="00821185"/>
    <w:rsid w:val="00822D16"/>
    <w:rsid w:val="00823060"/>
    <w:rsid w:val="008249DB"/>
    <w:rsid w:val="00824AD8"/>
    <w:rsid w:val="00824D4C"/>
    <w:rsid w:val="0082554E"/>
    <w:rsid w:val="008260FE"/>
    <w:rsid w:val="00831CBC"/>
    <w:rsid w:val="00832381"/>
    <w:rsid w:val="00832760"/>
    <w:rsid w:val="00833822"/>
    <w:rsid w:val="008338F8"/>
    <w:rsid w:val="00834886"/>
    <w:rsid w:val="00834C5E"/>
    <w:rsid w:val="008356D7"/>
    <w:rsid w:val="0083610C"/>
    <w:rsid w:val="008378F9"/>
    <w:rsid w:val="00837DA8"/>
    <w:rsid w:val="0084193E"/>
    <w:rsid w:val="008422F7"/>
    <w:rsid w:val="00843060"/>
    <w:rsid w:val="00843A6D"/>
    <w:rsid w:val="00843C79"/>
    <w:rsid w:val="00843E42"/>
    <w:rsid w:val="00843E87"/>
    <w:rsid w:val="00844015"/>
    <w:rsid w:val="008446F0"/>
    <w:rsid w:val="008453A3"/>
    <w:rsid w:val="008456DC"/>
    <w:rsid w:val="00845B32"/>
    <w:rsid w:val="00845BCA"/>
    <w:rsid w:val="00850627"/>
    <w:rsid w:val="008509A3"/>
    <w:rsid w:val="0085153F"/>
    <w:rsid w:val="008519F1"/>
    <w:rsid w:val="00851FEE"/>
    <w:rsid w:val="00852042"/>
    <w:rsid w:val="00852EAB"/>
    <w:rsid w:val="00853141"/>
    <w:rsid w:val="00853438"/>
    <w:rsid w:val="0085361A"/>
    <w:rsid w:val="008543AC"/>
    <w:rsid w:val="00854705"/>
    <w:rsid w:val="00855524"/>
    <w:rsid w:val="00855728"/>
    <w:rsid w:val="008564A0"/>
    <w:rsid w:val="00856613"/>
    <w:rsid w:val="0085687A"/>
    <w:rsid w:val="00856A6C"/>
    <w:rsid w:val="00856C27"/>
    <w:rsid w:val="00856C7C"/>
    <w:rsid w:val="008576B0"/>
    <w:rsid w:val="00857F79"/>
    <w:rsid w:val="00862655"/>
    <w:rsid w:val="00862ACB"/>
    <w:rsid w:val="00862FAE"/>
    <w:rsid w:val="008630D5"/>
    <w:rsid w:val="00864007"/>
    <w:rsid w:val="00864221"/>
    <w:rsid w:val="008642D5"/>
    <w:rsid w:val="0086474B"/>
    <w:rsid w:val="008647AC"/>
    <w:rsid w:val="0086682A"/>
    <w:rsid w:val="008678B2"/>
    <w:rsid w:val="00867B63"/>
    <w:rsid w:val="0087101A"/>
    <w:rsid w:val="00872C62"/>
    <w:rsid w:val="00872E98"/>
    <w:rsid w:val="00873AE5"/>
    <w:rsid w:val="0087469C"/>
    <w:rsid w:val="0087470F"/>
    <w:rsid w:val="00874B13"/>
    <w:rsid w:val="00874F63"/>
    <w:rsid w:val="0087517E"/>
    <w:rsid w:val="00875FE7"/>
    <w:rsid w:val="00876B98"/>
    <w:rsid w:val="0087713B"/>
    <w:rsid w:val="008777DA"/>
    <w:rsid w:val="00881B35"/>
    <w:rsid w:val="0088205D"/>
    <w:rsid w:val="00882915"/>
    <w:rsid w:val="00882A52"/>
    <w:rsid w:val="00884D17"/>
    <w:rsid w:val="00884DAE"/>
    <w:rsid w:val="008854AE"/>
    <w:rsid w:val="00885C3A"/>
    <w:rsid w:val="00886AEB"/>
    <w:rsid w:val="00891D19"/>
    <w:rsid w:val="00892415"/>
    <w:rsid w:val="00892C5D"/>
    <w:rsid w:val="00893CC5"/>
    <w:rsid w:val="00895DD1"/>
    <w:rsid w:val="00897208"/>
    <w:rsid w:val="008976C6"/>
    <w:rsid w:val="00897B17"/>
    <w:rsid w:val="008A03CE"/>
    <w:rsid w:val="008A0773"/>
    <w:rsid w:val="008A0EF8"/>
    <w:rsid w:val="008A0F54"/>
    <w:rsid w:val="008A1247"/>
    <w:rsid w:val="008A2698"/>
    <w:rsid w:val="008A2703"/>
    <w:rsid w:val="008A2795"/>
    <w:rsid w:val="008A4F18"/>
    <w:rsid w:val="008A5E43"/>
    <w:rsid w:val="008A672C"/>
    <w:rsid w:val="008A6EAC"/>
    <w:rsid w:val="008A79D1"/>
    <w:rsid w:val="008B0109"/>
    <w:rsid w:val="008B096A"/>
    <w:rsid w:val="008B17E4"/>
    <w:rsid w:val="008B1E1F"/>
    <w:rsid w:val="008B2CB2"/>
    <w:rsid w:val="008B2F07"/>
    <w:rsid w:val="008B4966"/>
    <w:rsid w:val="008B51D5"/>
    <w:rsid w:val="008B57A7"/>
    <w:rsid w:val="008B5994"/>
    <w:rsid w:val="008B6A64"/>
    <w:rsid w:val="008B7A1D"/>
    <w:rsid w:val="008C007C"/>
    <w:rsid w:val="008C08AE"/>
    <w:rsid w:val="008C116C"/>
    <w:rsid w:val="008C1170"/>
    <w:rsid w:val="008C1740"/>
    <w:rsid w:val="008C2933"/>
    <w:rsid w:val="008C37D2"/>
    <w:rsid w:val="008C3BF5"/>
    <w:rsid w:val="008C4346"/>
    <w:rsid w:val="008C4BE2"/>
    <w:rsid w:val="008C75D8"/>
    <w:rsid w:val="008D16ED"/>
    <w:rsid w:val="008D1D4C"/>
    <w:rsid w:val="008D31C8"/>
    <w:rsid w:val="008D3763"/>
    <w:rsid w:val="008D3D1B"/>
    <w:rsid w:val="008D489D"/>
    <w:rsid w:val="008D53A1"/>
    <w:rsid w:val="008D553F"/>
    <w:rsid w:val="008D59A7"/>
    <w:rsid w:val="008D5A17"/>
    <w:rsid w:val="008D6770"/>
    <w:rsid w:val="008D6FF8"/>
    <w:rsid w:val="008D7774"/>
    <w:rsid w:val="008E01C9"/>
    <w:rsid w:val="008E01D8"/>
    <w:rsid w:val="008E0A51"/>
    <w:rsid w:val="008E0D62"/>
    <w:rsid w:val="008E10C7"/>
    <w:rsid w:val="008E18F0"/>
    <w:rsid w:val="008E19A2"/>
    <w:rsid w:val="008E1AEE"/>
    <w:rsid w:val="008E1D96"/>
    <w:rsid w:val="008E3C81"/>
    <w:rsid w:val="008E4611"/>
    <w:rsid w:val="008E4F1D"/>
    <w:rsid w:val="008E4F25"/>
    <w:rsid w:val="008F039F"/>
    <w:rsid w:val="008F135C"/>
    <w:rsid w:val="008F1472"/>
    <w:rsid w:val="008F292D"/>
    <w:rsid w:val="008F35B7"/>
    <w:rsid w:val="008F4D4C"/>
    <w:rsid w:val="008F5151"/>
    <w:rsid w:val="008F5B36"/>
    <w:rsid w:val="008F604B"/>
    <w:rsid w:val="008F6389"/>
    <w:rsid w:val="008F6890"/>
    <w:rsid w:val="008F77F5"/>
    <w:rsid w:val="00901AFA"/>
    <w:rsid w:val="0090561F"/>
    <w:rsid w:val="0090564F"/>
    <w:rsid w:val="00906392"/>
    <w:rsid w:val="00906D91"/>
    <w:rsid w:val="00907E36"/>
    <w:rsid w:val="009106A5"/>
    <w:rsid w:val="009106DC"/>
    <w:rsid w:val="00910742"/>
    <w:rsid w:val="00911F8F"/>
    <w:rsid w:val="00912E0D"/>
    <w:rsid w:val="009133E1"/>
    <w:rsid w:val="00914973"/>
    <w:rsid w:val="00914FDF"/>
    <w:rsid w:val="0091575D"/>
    <w:rsid w:val="00915B1D"/>
    <w:rsid w:val="00915D43"/>
    <w:rsid w:val="00916748"/>
    <w:rsid w:val="00920459"/>
    <w:rsid w:val="00920718"/>
    <w:rsid w:val="00921369"/>
    <w:rsid w:val="00921395"/>
    <w:rsid w:val="009220D3"/>
    <w:rsid w:val="00922978"/>
    <w:rsid w:val="00922A23"/>
    <w:rsid w:val="00924188"/>
    <w:rsid w:val="00925034"/>
    <w:rsid w:val="00926147"/>
    <w:rsid w:val="009262E4"/>
    <w:rsid w:val="00926E6C"/>
    <w:rsid w:val="009276A1"/>
    <w:rsid w:val="0092789F"/>
    <w:rsid w:val="00930F52"/>
    <w:rsid w:val="00931BDA"/>
    <w:rsid w:val="00931C9A"/>
    <w:rsid w:val="00933C56"/>
    <w:rsid w:val="009348AA"/>
    <w:rsid w:val="009362D7"/>
    <w:rsid w:val="009366FF"/>
    <w:rsid w:val="009377C9"/>
    <w:rsid w:val="009377D5"/>
    <w:rsid w:val="009410FE"/>
    <w:rsid w:val="009414AA"/>
    <w:rsid w:val="009419DD"/>
    <w:rsid w:val="00941E4C"/>
    <w:rsid w:val="0094224C"/>
    <w:rsid w:val="00942641"/>
    <w:rsid w:val="00943E5E"/>
    <w:rsid w:val="009452E8"/>
    <w:rsid w:val="00945DBE"/>
    <w:rsid w:val="00946F02"/>
    <w:rsid w:val="0095097D"/>
    <w:rsid w:val="00950B55"/>
    <w:rsid w:val="00950F73"/>
    <w:rsid w:val="00951742"/>
    <w:rsid w:val="00951ED8"/>
    <w:rsid w:val="00952191"/>
    <w:rsid w:val="00953991"/>
    <w:rsid w:val="00954453"/>
    <w:rsid w:val="009553A0"/>
    <w:rsid w:val="0095575A"/>
    <w:rsid w:val="009559E4"/>
    <w:rsid w:val="00955C07"/>
    <w:rsid w:val="00956E55"/>
    <w:rsid w:val="00957874"/>
    <w:rsid w:val="00957B7E"/>
    <w:rsid w:val="00957BBA"/>
    <w:rsid w:val="0096040B"/>
    <w:rsid w:val="00960620"/>
    <w:rsid w:val="0096065A"/>
    <w:rsid w:val="00960703"/>
    <w:rsid w:val="00960C56"/>
    <w:rsid w:val="009612D2"/>
    <w:rsid w:val="00961442"/>
    <w:rsid w:val="00961D7B"/>
    <w:rsid w:val="00961D9F"/>
    <w:rsid w:val="009629D4"/>
    <w:rsid w:val="009633B0"/>
    <w:rsid w:val="009637AB"/>
    <w:rsid w:val="00966301"/>
    <w:rsid w:val="00966394"/>
    <w:rsid w:val="00966581"/>
    <w:rsid w:val="0096677A"/>
    <w:rsid w:val="00966992"/>
    <w:rsid w:val="009675A4"/>
    <w:rsid w:val="00967D28"/>
    <w:rsid w:val="00967D43"/>
    <w:rsid w:val="00970452"/>
    <w:rsid w:val="00971444"/>
    <w:rsid w:val="0097216E"/>
    <w:rsid w:val="00972B97"/>
    <w:rsid w:val="00972EA2"/>
    <w:rsid w:val="00973690"/>
    <w:rsid w:val="00974ED2"/>
    <w:rsid w:val="00975A07"/>
    <w:rsid w:val="00975D6C"/>
    <w:rsid w:val="0097638F"/>
    <w:rsid w:val="009778FF"/>
    <w:rsid w:val="00977F57"/>
    <w:rsid w:val="00980E5B"/>
    <w:rsid w:val="0098115B"/>
    <w:rsid w:val="00981A08"/>
    <w:rsid w:val="00981D02"/>
    <w:rsid w:val="00982926"/>
    <w:rsid w:val="00983CB5"/>
    <w:rsid w:val="009859FE"/>
    <w:rsid w:val="00985D33"/>
    <w:rsid w:val="009861F8"/>
    <w:rsid w:val="00986519"/>
    <w:rsid w:val="00986FB0"/>
    <w:rsid w:val="00987AA9"/>
    <w:rsid w:val="00987AAA"/>
    <w:rsid w:val="00990B7B"/>
    <w:rsid w:val="009915A1"/>
    <w:rsid w:val="00996177"/>
    <w:rsid w:val="00996532"/>
    <w:rsid w:val="00996757"/>
    <w:rsid w:val="00996BB0"/>
    <w:rsid w:val="009A0525"/>
    <w:rsid w:val="009A0E9A"/>
    <w:rsid w:val="009A11A4"/>
    <w:rsid w:val="009A29F8"/>
    <w:rsid w:val="009A4A9C"/>
    <w:rsid w:val="009A5162"/>
    <w:rsid w:val="009A68FE"/>
    <w:rsid w:val="009A6A08"/>
    <w:rsid w:val="009A6DD6"/>
    <w:rsid w:val="009B0464"/>
    <w:rsid w:val="009B1D0C"/>
    <w:rsid w:val="009B200F"/>
    <w:rsid w:val="009B3224"/>
    <w:rsid w:val="009B63A3"/>
    <w:rsid w:val="009B63E7"/>
    <w:rsid w:val="009B676B"/>
    <w:rsid w:val="009B68B8"/>
    <w:rsid w:val="009B707A"/>
    <w:rsid w:val="009B740C"/>
    <w:rsid w:val="009B7920"/>
    <w:rsid w:val="009C0155"/>
    <w:rsid w:val="009C0511"/>
    <w:rsid w:val="009C081B"/>
    <w:rsid w:val="009C085E"/>
    <w:rsid w:val="009C119D"/>
    <w:rsid w:val="009C1760"/>
    <w:rsid w:val="009C187B"/>
    <w:rsid w:val="009C33BE"/>
    <w:rsid w:val="009C40A4"/>
    <w:rsid w:val="009C42FD"/>
    <w:rsid w:val="009C5670"/>
    <w:rsid w:val="009C58BE"/>
    <w:rsid w:val="009C5FF7"/>
    <w:rsid w:val="009C6EB2"/>
    <w:rsid w:val="009D0779"/>
    <w:rsid w:val="009D07EC"/>
    <w:rsid w:val="009D21C6"/>
    <w:rsid w:val="009D304F"/>
    <w:rsid w:val="009D3B75"/>
    <w:rsid w:val="009D4660"/>
    <w:rsid w:val="009D46AD"/>
    <w:rsid w:val="009D4F76"/>
    <w:rsid w:val="009D50EC"/>
    <w:rsid w:val="009D66CF"/>
    <w:rsid w:val="009D6879"/>
    <w:rsid w:val="009D73C2"/>
    <w:rsid w:val="009D7CE3"/>
    <w:rsid w:val="009D7E41"/>
    <w:rsid w:val="009E11D9"/>
    <w:rsid w:val="009E135A"/>
    <w:rsid w:val="009E2A4D"/>
    <w:rsid w:val="009E2CC7"/>
    <w:rsid w:val="009E3C49"/>
    <w:rsid w:val="009E4294"/>
    <w:rsid w:val="009E51A8"/>
    <w:rsid w:val="009E5D2B"/>
    <w:rsid w:val="009E6C99"/>
    <w:rsid w:val="009E7C8F"/>
    <w:rsid w:val="009F25BA"/>
    <w:rsid w:val="009F30C8"/>
    <w:rsid w:val="009F525D"/>
    <w:rsid w:val="009F53A2"/>
    <w:rsid w:val="009F57FF"/>
    <w:rsid w:val="009F5CF8"/>
    <w:rsid w:val="009F5EEF"/>
    <w:rsid w:val="009F6263"/>
    <w:rsid w:val="009F629F"/>
    <w:rsid w:val="009F65A5"/>
    <w:rsid w:val="009F6D09"/>
    <w:rsid w:val="009F737E"/>
    <w:rsid w:val="009F75CB"/>
    <w:rsid w:val="00A01372"/>
    <w:rsid w:val="00A0164C"/>
    <w:rsid w:val="00A01AD2"/>
    <w:rsid w:val="00A0332E"/>
    <w:rsid w:val="00A0357E"/>
    <w:rsid w:val="00A04332"/>
    <w:rsid w:val="00A044DF"/>
    <w:rsid w:val="00A04981"/>
    <w:rsid w:val="00A05233"/>
    <w:rsid w:val="00A05869"/>
    <w:rsid w:val="00A05BCC"/>
    <w:rsid w:val="00A05BE3"/>
    <w:rsid w:val="00A05D5D"/>
    <w:rsid w:val="00A0677C"/>
    <w:rsid w:val="00A06DF4"/>
    <w:rsid w:val="00A073F7"/>
    <w:rsid w:val="00A074E3"/>
    <w:rsid w:val="00A07AE5"/>
    <w:rsid w:val="00A10A25"/>
    <w:rsid w:val="00A11B1A"/>
    <w:rsid w:val="00A11D1A"/>
    <w:rsid w:val="00A1301F"/>
    <w:rsid w:val="00A139CB"/>
    <w:rsid w:val="00A13C94"/>
    <w:rsid w:val="00A13CCA"/>
    <w:rsid w:val="00A13EE7"/>
    <w:rsid w:val="00A14006"/>
    <w:rsid w:val="00A14D65"/>
    <w:rsid w:val="00A15426"/>
    <w:rsid w:val="00A157A1"/>
    <w:rsid w:val="00A15BBC"/>
    <w:rsid w:val="00A175F6"/>
    <w:rsid w:val="00A17A2C"/>
    <w:rsid w:val="00A17FAB"/>
    <w:rsid w:val="00A20416"/>
    <w:rsid w:val="00A213B0"/>
    <w:rsid w:val="00A247F8"/>
    <w:rsid w:val="00A2541B"/>
    <w:rsid w:val="00A257E0"/>
    <w:rsid w:val="00A26006"/>
    <w:rsid w:val="00A2775B"/>
    <w:rsid w:val="00A30428"/>
    <w:rsid w:val="00A306B9"/>
    <w:rsid w:val="00A30907"/>
    <w:rsid w:val="00A3135B"/>
    <w:rsid w:val="00A31828"/>
    <w:rsid w:val="00A31B82"/>
    <w:rsid w:val="00A322D0"/>
    <w:rsid w:val="00A341AD"/>
    <w:rsid w:val="00A34751"/>
    <w:rsid w:val="00A34A15"/>
    <w:rsid w:val="00A36A5D"/>
    <w:rsid w:val="00A375DF"/>
    <w:rsid w:val="00A37A70"/>
    <w:rsid w:val="00A37D6D"/>
    <w:rsid w:val="00A4009F"/>
    <w:rsid w:val="00A40EC0"/>
    <w:rsid w:val="00A40FB2"/>
    <w:rsid w:val="00A41690"/>
    <w:rsid w:val="00A4215E"/>
    <w:rsid w:val="00A43419"/>
    <w:rsid w:val="00A44071"/>
    <w:rsid w:val="00A44AAC"/>
    <w:rsid w:val="00A44F3B"/>
    <w:rsid w:val="00A45FB0"/>
    <w:rsid w:val="00A46F7C"/>
    <w:rsid w:val="00A46F9C"/>
    <w:rsid w:val="00A47B01"/>
    <w:rsid w:val="00A507B1"/>
    <w:rsid w:val="00A511AB"/>
    <w:rsid w:val="00A54BB5"/>
    <w:rsid w:val="00A55219"/>
    <w:rsid w:val="00A55B82"/>
    <w:rsid w:val="00A55F43"/>
    <w:rsid w:val="00A56AA6"/>
    <w:rsid w:val="00A5787D"/>
    <w:rsid w:val="00A57EE8"/>
    <w:rsid w:val="00A60DA4"/>
    <w:rsid w:val="00A61A94"/>
    <w:rsid w:val="00A63030"/>
    <w:rsid w:val="00A63F5B"/>
    <w:rsid w:val="00A64C14"/>
    <w:rsid w:val="00A65FBF"/>
    <w:rsid w:val="00A66590"/>
    <w:rsid w:val="00A67210"/>
    <w:rsid w:val="00A70668"/>
    <w:rsid w:val="00A70B8F"/>
    <w:rsid w:val="00A727B3"/>
    <w:rsid w:val="00A73FF3"/>
    <w:rsid w:val="00A75176"/>
    <w:rsid w:val="00A765F5"/>
    <w:rsid w:val="00A771CF"/>
    <w:rsid w:val="00A77428"/>
    <w:rsid w:val="00A804CA"/>
    <w:rsid w:val="00A80CB3"/>
    <w:rsid w:val="00A81389"/>
    <w:rsid w:val="00A81BD3"/>
    <w:rsid w:val="00A82D6F"/>
    <w:rsid w:val="00A82D7A"/>
    <w:rsid w:val="00A8339A"/>
    <w:rsid w:val="00A83468"/>
    <w:rsid w:val="00A83A5F"/>
    <w:rsid w:val="00A83A6D"/>
    <w:rsid w:val="00A83C23"/>
    <w:rsid w:val="00A83E00"/>
    <w:rsid w:val="00A83E9A"/>
    <w:rsid w:val="00A84409"/>
    <w:rsid w:val="00A86470"/>
    <w:rsid w:val="00A87DFF"/>
    <w:rsid w:val="00A87F98"/>
    <w:rsid w:val="00A905C6"/>
    <w:rsid w:val="00A90AE2"/>
    <w:rsid w:val="00A91CA3"/>
    <w:rsid w:val="00A92576"/>
    <w:rsid w:val="00A925D6"/>
    <w:rsid w:val="00A931DE"/>
    <w:rsid w:val="00A937D6"/>
    <w:rsid w:val="00A944E1"/>
    <w:rsid w:val="00A94B13"/>
    <w:rsid w:val="00A963E4"/>
    <w:rsid w:val="00A968B4"/>
    <w:rsid w:val="00A9699E"/>
    <w:rsid w:val="00A96B60"/>
    <w:rsid w:val="00A9772F"/>
    <w:rsid w:val="00A978E8"/>
    <w:rsid w:val="00A97B65"/>
    <w:rsid w:val="00AA03B2"/>
    <w:rsid w:val="00AA0469"/>
    <w:rsid w:val="00AA0B61"/>
    <w:rsid w:val="00AA17F7"/>
    <w:rsid w:val="00AA2743"/>
    <w:rsid w:val="00AA3674"/>
    <w:rsid w:val="00AA3B34"/>
    <w:rsid w:val="00AA3B8F"/>
    <w:rsid w:val="00AA4E89"/>
    <w:rsid w:val="00AA5A52"/>
    <w:rsid w:val="00AA69F1"/>
    <w:rsid w:val="00AA74C0"/>
    <w:rsid w:val="00AB18BC"/>
    <w:rsid w:val="00AB34DA"/>
    <w:rsid w:val="00AB370F"/>
    <w:rsid w:val="00AB3A07"/>
    <w:rsid w:val="00AB4588"/>
    <w:rsid w:val="00AB4F9D"/>
    <w:rsid w:val="00AB6302"/>
    <w:rsid w:val="00AB71B3"/>
    <w:rsid w:val="00AB7D9C"/>
    <w:rsid w:val="00AC0169"/>
    <w:rsid w:val="00AC0DBC"/>
    <w:rsid w:val="00AC0FA8"/>
    <w:rsid w:val="00AC1B2A"/>
    <w:rsid w:val="00AC1DC3"/>
    <w:rsid w:val="00AC3AFC"/>
    <w:rsid w:val="00AC4AB0"/>
    <w:rsid w:val="00AC4AC6"/>
    <w:rsid w:val="00AC5033"/>
    <w:rsid w:val="00AC54C7"/>
    <w:rsid w:val="00AC5609"/>
    <w:rsid w:val="00AC5990"/>
    <w:rsid w:val="00AC6068"/>
    <w:rsid w:val="00AC6B35"/>
    <w:rsid w:val="00AD0158"/>
    <w:rsid w:val="00AD0488"/>
    <w:rsid w:val="00AD0D58"/>
    <w:rsid w:val="00AD0ED0"/>
    <w:rsid w:val="00AD1B5F"/>
    <w:rsid w:val="00AD33AE"/>
    <w:rsid w:val="00AD35C0"/>
    <w:rsid w:val="00AD3AD0"/>
    <w:rsid w:val="00AD3D1C"/>
    <w:rsid w:val="00AD64FF"/>
    <w:rsid w:val="00AD7E70"/>
    <w:rsid w:val="00AE0138"/>
    <w:rsid w:val="00AE04D2"/>
    <w:rsid w:val="00AE0F48"/>
    <w:rsid w:val="00AE149C"/>
    <w:rsid w:val="00AE2624"/>
    <w:rsid w:val="00AE48AC"/>
    <w:rsid w:val="00AE58EB"/>
    <w:rsid w:val="00AE7573"/>
    <w:rsid w:val="00AF06E5"/>
    <w:rsid w:val="00AF1583"/>
    <w:rsid w:val="00AF22C1"/>
    <w:rsid w:val="00AF2A90"/>
    <w:rsid w:val="00AF2F12"/>
    <w:rsid w:val="00AF41D9"/>
    <w:rsid w:val="00AF5040"/>
    <w:rsid w:val="00AF57C8"/>
    <w:rsid w:val="00AF5EB6"/>
    <w:rsid w:val="00AF5F9D"/>
    <w:rsid w:val="00AF6F2A"/>
    <w:rsid w:val="00AF775E"/>
    <w:rsid w:val="00AF78F3"/>
    <w:rsid w:val="00B011FF"/>
    <w:rsid w:val="00B02CEA"/>
    <w:rsid w:val="00B03B5A"/>
    <w:rsid w:val="00B043ED"/>
    <w:rsid w:val="00B064A8"/>
    <w:rsid w:val="00B072CC"/>
    <w:rsid w:val="00B07372"/>
    <w:rsid w:val="00B07697"/>
    <w:rsid w:val="00B07B39"/>
    <w:rsid w:val="00B107E8"/>
    <w:rsid w:val="00B11995"/>
    <w:rsid w:val="00B11BD8"/>
    <w:rsid w:val="00B16982"/>
    <w:rsid w:val="00B17373"/>
    <w:rsid w:val="00B20B48"/>
    <w:rsid w:val="00B20D42"/>
    <w:rsid w:val="00B20EE9"/>
    <w:rsid w:val="00B21071"/>
    <w:rsid w:val="00B21148"/>
    <w:rsid w:val="00B21959"/>
    <w:rsid w:val="00B21A37"/>
    <w:rsid w:val="00B229F3"/>
    <w:rsid w:val="00B22E50"/>
    <w:rsid w:val="00B23427"/>
    <w:rsid w:val="00B239A9"/>
    <w:rsid w:val="00B24517"/>
    <w:rsid w:val="00B247A3"/>
    <w:rsid w:val="00B24F9C"/>
    <w:rsid w:val="00B2576F"/>
    <w:rsid w:val="00B2606B"/>
    <w:rsid w:val="00B30866"/>
    <w:rsid w:val="00B309D9"/>
    <w:rsid w:val="00B3108E"/>
    <w:rsid w:val="00B34A68"/>
    <w:rsid w:val="00B358B3"/>
    <w:rsid w:val="00B35A3F"/>
    <w:rsid w:val="00B36746"/>
    <w:rsid w:val="00B3699C"/>
    <w:rsid w:val="00B369C0"/>
    <w:rsid w:val="00B36A74"/>
    <w:rsid w:val="00B377C9"/>
    <w:rsid w:val="00B408F4"/>
    <w:rsid w:val="00B40BB5"/>
    <w:rsid w:val="00B40C0A"/>
    <w:rsid w:val="00B422FB"/>
    <w:rsid w:val="00B436A0"/>
    <w:rsid w:val="00B44110"/>
    <w:rsid w:val="00B44425"/>
    <w:rsid w:val="00B4443D"/>
    <w:rsid w:val="00B44C6B"/>
    <w:rsid w:val="00B45651"/>
    <w:rsid w:val="00B46273"/>
    <w:rsid w:val="00B47DAF"/>
    <w:rsid w:val="00B50FAF"/>
    <w:rsid w:val="00B5230C"/>
    <w:rsid w:val="00B5485F"/>
    <w:rsid w:val="00B552BF"/>
    <w:rsid w:val="00B5544B"/>
    <w:rsid w:val="00B554D7"/>
    <w:rsid w:val="00B55547"/>
    <w:rsid w:val="00B5578C"/>
    <w:rsid w:val="00B55A16"/>
    <w:rsid w:val="00B55E9B"/>
    <w:rsid w:val="00B5653B"/>
    <w:rsid w:val="00B56C26"/>
    <w:rsid w:val="00B56E2C"/>
    <w:rsid w:val="00B6045C"/>
    <w:rsid w:val="00B6051F"/>
    <w:rsid w:val="00B610B3"/>
    <w:rsid w:val="00B61348"/>
    <w:rsid w:val="00B615EA"/>
    <w:rsid w:val="00B61C00"/>
    <w:rsid w:val="00B61C04"/>
    <w:rsid w:val="00B631C5"/>
    <w:rsid w:val="00B647AA"/>
    <w:rsid w:val="00B66433"/>
    <w:rsid w:val="00B67F19"/>
    <w:rsid w:val="00B702A4"/>
    <w:rsid w:val="00B7033A"/>
    <w:rsid w:val="00B70B57"/>
    <w:rsid w:val="00B71740"/>
    <w:rsid w:val="00B72008"/>
    <w:rsid w:val="00B72048"/>
    <w:rsid w:val="00B74388"/>
    <w:rsid w:val="00B746B2"/>
    <w:rsid w:val="00B7479D"/>
    <w:rsid w:val="00B74CF9"/>
    <w:rsid w:val="00B759ED"/>
    <w:rsid w:val="00B76B92"/>
    <w:rsid w:val="00B777E0"/>
    <w:rsid w:val="00B77D18"/>
    <w:rsid w:val="00B77D4B"/>
    <w:rsid w:val="00B77EF6"/>
    <w:rsid w:val="00B8044D"/>
    <w:rsid w:val="00B811CC"/>
    <w:rsid w:val="00B818A2"/>
    <w:rsid w:val="00B83071"/>
    <w:rsid w:val="00B8370F"/>
    <w:rsid w:val="00B83B60"/>
    <w:rsid w:val="00B84308"/>
    <w:rsid w:val="00B85427"/>
    <w:rsid w:val="00B86517"/>
    <w:rsid w:val="00B87F1B"/>
    <w:rsid w:val="00B90232"/>
    <w:rsid w:val="00B91A6A"/>
    <w:rsid w:val="00B92252"/>
    <w:rsid w:val="00B93D13"/>
    <w:rsid w:val="00B94335"/>
    <w:rsid w:val="00B94410"/>
    <w:rsid w:val="00B952C7"/>
    <w:rsid w:val="00B95730"/>
    <w:rsid w:val="00B958A7"/>
    <w:rsid w:val="00B96CD2"/>
    <w:rsid w:val="00B97FF9"/>
    <w:rsid w:val="00BA0419"/>
    <w:rsid w:val="00BA04A4"/>
    <w:rsid w:val="00BA3FAE"/>
    <w:rsid w:val="00BA409D"/>
    <w:rsid w:val="00BA4372"/>
    <w:rsid w:val="00BA4501"/>
    <w:rsid w:val="00BA4622"/>
    <w:rsid w:val="00BA481E"/>
    <w:rsid w:val="00BA5772"/>
    <w:rsid w:val="00BA6C4E"/>
    <w:rsid w:val="00BA7A4B"/>
    <w:rsid w:val="00BB02C3"/>
    <w:rsid w:val="00BB0F4A"/>
    <w:rsid w:val="00BB1466"/>
    <w:rsid w:val="00BB2996"/>
    <w:rsid w:val="00BB2AA2"/>
    <w:rsid w:val="00BB2E5A"/>
    <w:rsid w:val="00BB3D6C"/>
    <w:rsid w:val="00BB4B0D"/>
    <w:rsid w:val="00BB53D8"/>
    <w:rsid w:val="00BB55A3"/>
    <w:rsid w:val="00BB6BAC"/>
    <w:rsid w:val="00BB70C4"/>
    <w:rsid w:val="00BB79B5"/>
    <w:rsid w:val="00BB7DBD"/>
    <w:rsid w:val="00BC0721"/>
    <w:rsid w:val="00BC1A2E"/>
    <w:rsid w:val="00BC3570"/>
    <w:rsid w:val="00BC36CE"/>
    <w:rsid w:val="00BC3841"/>
    <w:rsid w:val="00BC4079"/>
    <w:rsid w:val="00BC4E2D"/>
    <w:rsid w:val="00BC4F8D"/>
    <w:rsid w:val="00BC5828"/>
    <w:rsid w:val="00BC59F0"/>
    <w:rsid w:val="00BC5E95"/>
    <w:rsid w:val="00BD1F48"/>
    <w:rsid w:val="00BD2052"/>
    <w:rsid w:val="00BD227C"/>
    <w:rsid w:val="00BD2BB3"/>
    <w:rsid w:val="00BD4375"/>
    <w:rsid w:val="00BD4507"/>
    <w:rsid w:val="00BD5779"/>
    <w:rsid w:val="00BD6067"/>
    <w:rsid w:val="00BE0970"/>
    <w:rsid w:val="00BE1986"/>
    <w:rsid w:val="00BE25BB"/>
    <w:rsid w:val="00BE3521"/>
    <w:rsid w:val="00BE40BB"/>
    <w:rsid w:val="00BE54DB"/>
    <w:rsid w:val="00BE5D27"/>
    <w:rsid w:val="00BE7FAA"/>
    <w:rsid w:val="00BE7FD7"/>
    <w:rsid w:val="00BF03E2"/>
    <w:rsid w:val="00BF0A21"/>
    <w:rsid w:val="00BF135F"/>
    <w:rsid w:val="00BF29DA"/>
    <w:rsid w:val="00BF2C6A"/>
    <w:rsid w:val="00BF330C"/>
    <w:rsid w:val="00BF370F"/>
    <w:rsid w:val="00BF3B38"/>
    <w:rsid w:val="00BF5241"/>
    <w:rsid w:val="00C00ACE"/>
    <w:rsid w:val="00C017A8"/>
    <w:rsid w:val="00C0330E"/>
    <w:rsid w:val="00C040DD"/>
    <w:rsid w:val="00C047E7"/>
    <w:rsid w:val="00C05499"/>
    <w:rsid w:val="00C055D8"/>
    <w:rsid w:val="00C12018"/>
    <w:rsid w:val="00C121D8"/>
    <w:rsid w:val="00C12D08"/>
    <w:rsid w:val="00C1314B"/>
    <w:rsid w:val="00C13A4E"/>
    <w:rsid w:val="00C13E97"/>
    <w:rsid w:val="00C15995"/>
    <w:rsid w:val="00C2017E"/>
    <w:rsid w:val="00C203ED"/>
    <w:rsid w:val="00C22EFB"/>
    <w:rsid w:val="00C234EB"/>
    <w:rsid w:val="00C244B6"/>
    <w:rsid w:val="00C25340"/>
    <w:rsid w:val="00C26507"/>
    <w:rsid w:val="00C2663A"/>
    <w:rsid w:val="00C26AD7"/>
    <w:rsid w:val="00C27933"/>
    <w:rsid w:val="00C27AFF"/>
    <w:rsid w:val="00C27E36"/>
    <w:rsid w:val="00C30228"/>
    <w:rsid w:val="00C31DD4"/>
    <w:rsid w:val="00C33946"/>
    <w:rsid w:val="00C34740"/>
    <w:rsid w:val="00C34894"/>
    <w:rsid w:val="00C35A2C"/>
    <w:rsid w:val="00C35B36"/>
    <w:rsid w:val="00C36F7B"/>
    <w:rsid w:val="00C36FCD"/>
    <w:rsid w:val="00C37927"/>
    <w:rsid w:val="00C37E90"/>
    <w:rsid w:val="00C401AF"/>
    <w:rsid w:val="00C40CA9"/>
    <w:rsid w:val="00C40EB5"/>
    <w:rsid w:val="00C41BB3"/>
    <w:rsid w:val="00C41E82"/>
    <w:rsid w:val="00C42E9C"/>
    <w:rsid w:val="00C43394"/>
    <w:rsid w:val="00C4357C"/>
    <w:rsid w:val="00C43688"/>
    <w:rsid w:val="00C43C99"/>
    <w:rsid w:val="00C43E6F"/>
    <w:rsid w:val="00C446CC"/>
    <w:rsid w:val="00C455F8"/>
    <w:rsid w:val="00C46BD2"/>
    <w:rsid w:val="00C474C0"/>
    <w:rsid w:val="00C475B9"/>
    <w:rsid w:val="00C5073A"/>
    <w:rsid w:val="00C50E5F"/>
    <w:rsid w:val="00C512FE"/>
    <w:rsid w:val="00C51637"/>
    <w:rsid w:val="00C51A23"/>
    <w:rsid w:val="00C51B01"/>
    <w:rsid w:val="00C52757"/>
    <w:rsid w:val="00C53B3B"/>
    <w:rsid w:val="00C53C54"/>
    <w:rsid w:val="00C53EBC"/>
    <w:rsid w:val="00C54E7B"/>
    <w:rsid w:val="00C550CC"/>
    <w:rsid w:val="00C55518"/>
    <w:rsid w:val="00C55CD6"/>
    <w:rsid w:val="00C562EB"/>
    <w:rsid w:val="00C56402"/>
    <w:rsid w:val="00C572A7"/>
    <w:rsid w:val="00C57D7F"/>
    <w:rsid w:val="00C60AB6"/>
    <w:rsid w:val="00C60B75"/>
    <w:rsid w:val="00C6145D"/>
    <w:rsid w:val="00C61C3B"/>
    <w:rsid w:val="00C641AA"/>
    <w:rsid w:val="00C643C0"/>
    <w:rsid w:val="00C64494"/>
    <w:rsid w:val="00C65ADC"/>
    <w:rsid w:val="00C65BA9"/>
    <w:rsid w:val="00C665F0"/>
    <w:rsid w:val="00C66E45"/>
    <w:rsid w:val="00C6714B"/>
    <w:rsid w:val="00C704A2"/>
    <w:rsid w:val="00C719D3"/>
    <w:rsid w:val="00C71BFB"/>
    <w:rsid w:val="00C724D2"/>
    <w:rsid w:val="00C72CD7"/>
    <w:rsid w:val="00C735B0"/>
    <w:rsid w:val="00C73787"/>
    <w:rsid w:val="00C75758"/>
    <w:rsid w:val="00C763C1"/>
    <w:rsid w:val="00C801B0"/>
    <w:rsid w:val="00C80687"/>
    <w:rsid w:val="00C80AAB"/>
    <w:rsid w:val="00C81243"/>
    <w:rsid w:val="00C84217"/>
    <w:rsid w:val="00C843D0"/>
    <w:rsid w:val="00C84580"/>
    <w:rsid w:val="00C84AD6"/>
    <w:rsid w:val="00C85B73"/>
    <w:rsid w:val="00C85C2B"/>
    <w:rsid w:val="00C8610B"/>
    <w:rsid w:val="00C8626F"/>
    <w:rsid w:val="00C86611"/>
    <w:rsid w:val="00C86A44"/>
    <w:rsid w:val="00C8796A"/>
    <w:rsid w:val="00C9024F"/>
    <w:rsid w:val="00C906DC"/>
    <w:rsid w:val="00C90DDC"/>
    <w:rsid w:val="00C91059"/>
    <w:rsid w:val="00C915EF"/>
    <w:rsid w:val="00C919F3"/>
    <w:rsid w:val="00C91DAF"/>
    <w:rsid w:val="00C92120"/>
    <w:rsid w:val="00C93CD2"/>
    <w:rsid w:val="00C9403B"/>
    <w:rsid w:val="00C94785"/>
    <w:rsid w:val="00C948BB"/>
    <w:rsid w:val="00C94B58"/>
    <w:rsid w:val="00C94D78"/>
    <w:rsid w:val="00C94E32"/>
    <w:rsid w:val="00C951EE"/>
    <w:rsid w:val="00C9544C"/>
    <w:rsid w:val="00C957A5"/>
    <w:rsid w:val="00C95AC5"/>
    <w:rsid w:val="00C95EE4"/>
    <w:rsid w:val="00C963F0"/>
    <w:rsid w:val="00C96767"/>
    <w:rsid w:val="00C9728E"/>
    <w:rsid w:val="00CA0123"/>
    <w:rsid w:val="00CA04A8"/>
    <w:rsid w:val="00CA1587"/>
    <w:rsid w:val="00CA2B47"/>
    <w:rsid w:val="00CA2DCF"/>
    <w:rsid w:val="00CA4153"/>
    <w:rsid w:val="00CA52C5"/>
    <w:rsid w:val="00CA653D"/>
    <w:rsid w:val="00CA66CF"/>
    <w:rsid w:val="00CA6757"/>
    <w:rsid w:val="00CA7CA6"/>
    <w:rsid w:val="00CB0BF6"/>
    <w:rsid w:val="00CB0F15"/>
    <w:rsid w:val="00CB1C7B"/>
    <w:rsid w:val="00CB5858"/>
    <w:rsid w:val="00CB5DF6"/>
    <w:rsid w:val="00CB65B6"/>
    <w:rsid w:val="00CB67C8"/>
    <w:rsid w:val="00CB6C7C"/>
    <w:rsid w:val="00CC0482"/>
    <w:rsid w:val="00CC1379"/>
    <w:rsid w:val="00CC18FE"/>
    <w:rsid w:val="00CC1E78"/>
    <w:rsid w:val="00CC1EA6"/>
    <w:rsid w:val="00CC2863"/>
    <w:rsid w:val="00CC3B04"/>
    <w:rsid w:val="00CC3BD2"/>
    <w:rsid w:val="00CC3BD3"/>
    <w:rsid w:val="00CC3CA0"/>
    <w:rsid w:val="00CC3CA9"/>
    <w:rsid w:val="00CC44CE"/>
    <w:rsid w:val="00CC4850"/>
    <w:rsid w:val="00CC4F6D"/>
    <w:rsid w:val="00CC5032"/>
    <w:rsid w:val="00CC5E1A"/>
    <w:rsid w:val="00CC6679"/>
    <w:rsid w:val="00CC6A53"/>
    <w:rsid w:val="00CD00A1"/>
    <w:rsid w:val="00CD00D8"/>
    <w:rsid w:val="00CD0CD2"/>
    <w:rsid w:val="00CD118D"/>
    <w:rsid w:val="00CD1B7A"/>
    <w:rsid w:val="00CD23ED"/>
    <w:rsid w:val="00CD4216"/>
    <w:rsid w:val="00CD4340"/>
    <w:rsid w:val="00CD56E5"/>
    <w:rsid w:val="00CD7657"/>
    <w:rsid w:val="00CE02AF"/>
    <w:rsid w:val="00CE0C12"/>
    <w:rsid w:val="00CE1FC3"/>
    <w:rsid w:val="00CE2189"/>
    <w:rsid w:val="00CE243E"/>
    <w:rsid w:val="00CE2537"/>
    <w:rsid w:val="00CE2F15"/>
    <w:rsid w:val="00CE33AD"/>
    <w:rsid w:val="00CE397D"/>
    <w:rsid w:val="00CE533F"/>
    <w:rsid w:val="00CE5597"/>
    <w:rsid w:val="00CE5C08"/>
    <w:rsid w:val="00CE61FB"/>
    <w:rsid w:val="00CE6CD1"/>
    <w:rsid w:val="00CE7925"/>
    <w:rsid w:val="00CF04B5"/>
    <w:rsid w:val="00CF08E7"/>
    <w:rsid w:val="00CF0CDF"/>
    <w:rsid w:val="00CF13DA"/>
    <w:rsid w:val="00CF1D8F"/>
    <w:rsid w:val="00CF249B"/>
    <w:rsid w:val="00CF27A9"/>
    <w:rsid w:val="00CF366B"/>
    <w:rsid w:val="00CF573E"/>
    <w:rsid w:val="00CF5D02"/>
    <w:rsid w:val="00CF6393"/>
    <w:rsid w:val="00CF6EA9"/>
    <w:rsid w:val="00D001D5"/>
    <w:rsid w:val="00D0105D"/>
    <w:rsid w:val="00D03EEC"/>
    <w:rsid w:val="00D0649E"/>
    <w:rsid w:val="00D10FA9"/>
    <w:rsid w:val="00D111F0"/>
    <w:rsid w:val="00D115C4"/>
    <w:rsid w:val="00D11F4D"/>
    <w:rsid w:val="00D125E9"/>
    <w:rsid w:val="00D12992"/>
    <w:rsid w:val="00D1340A"/>
    <w:rsid w:val="00D13AB6"/>
    <w:rsid w:val="00D13C33"/>
    <w:rsid w:val="00D14DF9"/>
    <w:rsid w:val="00D14E04"/>
    <w:rsid w:val="00D157D1"/>
    <w:rsid w:val="00D200E1"/>
    <w:rsid w:val="00D20A04"/>
    <w:rsid w:val="00D20B59"/>
    <w:rsid w:val="00D21649"/>
    <w:rsid w:val="00D21A9B"/>
    <w:rsid w:val="00D23AC1"/>
    <w:rsid w:val="00D24586"/>
    <w:rsid w:val="00D24ABB"/>
    <w:rsid w:val="00D2509A"/>
    <w:rsid w:val="00D26DC1"/>
    <w:rsid w:val="00D2726A"/>
    <w:rsid w:val="00D30A04"/>
    <w:rsid w:val="00D30F4A"/>
    <w:rsid w:val="00D326E9"/>
    <w:rsid w:val="00D3295F"/>
    <w:rsid w:val="00D32A7D"/>
    <w:rsid w:val="00D32C62"/>
    <w:rsid w:val="00D3376B"/>
    <w:rsid w:val="00D33A9C"/>
    <w:rsid w:val="00D33D27"/>
    <w:rsid w:val="00D33F28"/>
    <w:rsid w:val="00D34527"/>
    <w:rsid w:val="00D345BE"/>
    <w:rsid w:val="00D358A2"/>
    <w:rsid w:val="00D35969"/>
    <w:rsid w:val="00D36A42"/>
    <w:rsid w:val="00D3728F"/>
    <w:rsid w:val="00D3756B"/>
    <w:rsid w:val="00D40BD5"/>
    <w:rsid w:val="00D40CA3"/>
    <w:rsid w:val="00D41F9B"/>
    <w:rsid w:val="00D42529"/>
    <w:rsid w:val="00D427AF"/>
    <w:rsid w:val="00D436B1"/>
    <w:rsid w:val="00D43938"/>
    <w:rsid w:val="00D46ACF"/>
    <w:rsid w:val="00D4706E"/>
    <w:rsid w:val="00D47A99"/>
    <w:rsid w:val="00D5065D"/>
    <w:rsid w:val="00D50E90"/>
    <w:rsid w:val="00D510D3"/>
    <w:rsid w:val="00D51146"/>
    <w:rsid w:val="00D5129F"/>
    <w:rsid w:val="00D514F0"/>
    <w:rsid w:val="00D5330F"/>
    <w:rsid w:val="00D552A7"/>
    <w:rsid w:val="00D553A2"/>
    <w:rsid w:val="00D5613F"/>
    <w:rsid w:val="00D57CB7"/>
    <w:rsid w:val="00D57E30"/>
    <w:rsid w:val="00D600A6"/>
    <w:rsid w:val="00D60128"/>
    <w:rsid w:val="00D60295"/>
    <w:rsid w:val="00D606DF"/>
    <w:rsid w:val="00D61109"/>
    <w:rsid w:val="00D61E02"/>
    <w:rsid w:val="00D62C84"/>
    <w:rsid w:val="00D63005"/>
    <w:rsid w:val="00D6388E"/>
    <w:rsid w:val="00D63FE0"/>
    <w:rsid w:val="00D64180"/>
    <w:rsid w:val="00D64A65"/>
    <w:rsid w:val="00D64B25"/>
    <w:rsid w:val="00D64EC6"/>
    <w:rsid w:val="00D65124"/>
    <w:rsid w:val="00D66925"/>
    <w:rsid w:val="00D7105D"/>
    <w:rsid w:val="00D71A92"/>
    <w:rsid w:val="00D720A4"/>
    <w:rsid w:val="00D722CD"/>
    <w:rsid w:val="00D725AD"/>
    <w:rsid w:val="00D730ED"/>
    <w:rsid w:val="00D73295"/>
    <w:rsid w:val="00D77475"/>
    <w:rsid w:val="00D77499"/>
    <w:rsid w:val="00D83A89"/>
    <w:rsid w:val="00D84743"/>
    <w:rsid w:val="00D856B4"/>
    <w:rsid w:val="00D87AB0"/>
    <w:rsid w:val="00D87B67"/>
    <w:rsid w:val="00D87CB4"/>
    <w:rsid w:val="00D90AB7"/>
    <w:rsid w:val="00D90EAB"/>
    <w:rsid w:val="00D90F9F"/>
    <w:rsid w:val="00D90FF8"/>
    <w:rsid w:val="00D9167A"/>
    <w:rsid w:val="00D91707"/>
    <w:rsid w:val="00D91AC5"/>
    <w:rsid w:val="00D92805"/>
    <w:rsid w:val="00D93990"/>
    <w:rsid w:val="00D95081"/>
    <w:rsid w:val="00D960DE"/>
    <w:rsid w:val="00D962FE"/>
    <w:rsid w:val="00D97B66"/>
    <w:rsid w:val="00D97BC1"/>
    <w:rsid w:val="00DA002D"/>
    <w:rsid w:val="00DA037B"/>
    <w:rsid w:val="00DA0953"/>
    <w:rsid w:val="00DA17E9"/>
    <w:rsid w:val="00DA318D"/>
    <w:rsid w:val="00DA33DE"/>
    <w:rsid w:val="00DA3FB4"/>
    <w:rsid w:val="00DA4A23"/>
    <w:rsid w:val="00DA620C"/>
    <w:rsid w:val="00DA6F5C"/>
    <w:rsid w:val="00DB05DE"/>
    <w:rsid w:val="00DB067C"/>
    <w:rsid w:val="00DB12E5"/>
    <w:rsid w:val="00DB1866"/>
    <w:rsid w:val="00DB264A"/>
    <w:rsid w:val="00DB36A1"/>
    <w:rsid w:val="00DB3EE3"/>
    <w:rsid w:val="00DB51DE"/>
    <w:rsid w:val="00DB551E"/>
    <w:rsid w:val="00DB56C7"/>
    <w:rsid w:val="00DB59C3"/>
    <w:rsid w:val="00DB5E47"/>
    <w:rsid w:val="00DB6475"/>
    <w:rsid w:val="00DB6678"/>
    <w:rsid w:val="00DB68FE"/>
    <w:rsid w:val="00DB75ED"/>
    <w:rsid w:val="00DB771A"/>
    <w:rsid w:val="00DB796A"/>
    <w:rsid w:val="00DC22CB"/>
    <w:rsid w:val="00DC2A45"/>
    <w:rsid w:val="00DC2D9D"/>
    <w:rsid w:val="00DC319D"/>
    <w:rsid w:val="00DC687C"/>
    <w:rsid w:val="00DD138D"/>
    <w:rsid w:val="00DD13FA"/>
    <w:rsid w:val="00DD1C61"/>
    <w:rsid w:val="00DD2033"/>
    <w:rsid w:val="00DD2826"/>
    <w:rsid w:val="00DD314D"/>
    <w:rsid w:val="00DD361D"/>
    <w:rsid w:val="00DD64BE"/>
    <w:rsid w:val="00DD72A5"/>
    <w:rsid w:val="00DE0495"/>
    <w:rsid w:val="00DE0E9B"/>
    <w:rsid w:val="00DE11F7"/>
    <w:rsid w:val="00DE149D"/>
    <w:rsid w:val="00DE1F40"/>
    <w:rsid w:val="00DE2EAA"/>
    <w:rsid w:val="00DE322A"/>
    <w:rsid w:val="00DE3310"/>
    <w:rsid w:val="00DE339E"/>
    <w:rsid w:val="00DE42EB"/>
    <w:rsid w:val="00DE459C"/>
    <w:rsid w:val="00DE4DFE"/>
    <w:rsid w:val="00DE51A8"/>
    <w:rsid w:val="00DE5554"/>
    <w:rsid w:val="00DE6BAE"/>
    <w:rsid w:val="00DE6BCF"/>
    <w:rsid w:val="00DF08F7"/>
    <w:rsid w:val="00DF0CAF"/>
    <w:rsid w:val="00DF0DF2"/>
    <w:rsid w:val="00DF22B4"/>
    <w:rsid w:val="00DF2657"/>
    <w:rsid w:val="00DF270D"/>
    <w:rsid w:val="00DF38C5"/>
    <w:rsid w:val="00DF483B"/>
    <w:rsid w:val="00DF7C09"/>
    <w:rsid w:val="00E0078E"/>
    <w:rsid w:val="00E00BB8"/>
    <w:rsid w:val="00E01F27"/>
    <w:rsid w:val="00E0205D"/>
    <w:rsid w:val="00E02BC9"/>
    <w:rsid w:val="00E02C5C"/>
    <w:rsid w:val="00E03004"/>
    <w:rsid w:val="00E0434F"/>
    <w:rsid w:val="00E052C6"/>
    <w:rsid w:val="00E05A6C"/>
    <w:rsid w:val="00E06B14"/>
    <w:rsid w:val="00E07C1E"/>
    <w:rsid w:val="00E07CC7"/>
    <w:rsid w:val="00E07F61"/>
    <w:rsid w:val="00E10152"/>
    <w:rsid w:val="00E10733"/>
    <w:rsid w:val="00E11FCE"/>
    <w:rsid w:val="00E12130"/>
    <w:rsid w:val="00E121AB"/>
    <w:rsid w:val="00E12922"/>
    <w:rsid w:val="00E14075"/>
    <w:rsid w:val="00E153E2"/>
    <w:rsid w:val="00E15DD7"/>
    <w:rsid w:val="00E169C4"/>
    <w:rsid w:val="00E17F04"/>
    <w:rsid w:val="00E2082A"/>
    <w:rsid w:val="00E21044"/>
    <w:rsid w:val="00E21D51"/>
    <w:rsid w:val="00E21FF6"/>
    <w:rsid w:val="00E22BA2"/>
    <w:rsid w:val="00E22BB2"/>
    <w:rsid w:val="00E23046"/>
    <w:rsid w:val="00E27518"/>
    <w:rsid w:val="00E305B1"/>
    <w:rsid w:val="00E310DA"/>
    <w:rsid w:val="00E31FA0"/>
    <w:rsid w:val="00E328B9"/>
    <w:rsid w:val="00E3302A"/>
    <w:rsid w:val="00E3351E"/>
    <w:rsid w:val="00E33853"/>
    <w:rsid w:val="00E34592"/>
    <w:rsid w:val="00E348B9"/>
    <w:rsid w:val="00E374B7"/>
    <w:rsid w:val="00E37607"/>
    <w:rsid w:val="00E37B15"/>
    <w:rsid w:val="00E37F94"/>
    <w:rsid w:val="00E40EDA"/>
    <w:rsid w:val="00E416FA"/>
    <w:rsid w:val="00E41A3C"/>
    <w:rsid w:val="00E41CFD"/>
    <w:rsid w:val="00E41DCA"/>
    <w:rsid w:val="00E41F5C"/>
    <w:rsid w:val="00E42257"/>
    <w:rsid w:val="00E4293A"/>
    <w:rsid w:val="00E42FD5"/>
    <w:rsid w:val="00E42FE3"/>
    <w:rsid w:val="00E43005"/>
    <w:rsid w:val="00E43463"/>
    <w:rsid w:val="00E44563"/>
    <w:rsid w:val="00E45388"/>
    <w:rsid w:val="00E45883"/>
    <w:rsid w:val="00E465D7"/>
    <w:rsid w:val="00E46BEE"/>
    <w:rsid w:val="00E471A5"/>
    <w:rsid w:val="00E477D1"/>
    <w:rsid w:val="00E47C74"/>
    <w:rsid w:val="00E5075B"/>
    <w:rsid w:val="00E50774"/>
    <w:rsid w:val="00E507A1"/>
    <w:rsid w:val="00E51A1B"/>
    <w:rsid w:val="00E525AA"/>
    <w:rsid w:val="00E52745"/>
    <w:rsid w:val="00E5283E"/>
    <w:rsid w:val="00E53C82"/>
    <w:rsid w:val="00E547F4"/>
    <w:rsid w:val="00E54A49"/>
    <w:rsid w:val="00E54F9C"/>
    <w:rsid w:val="00E567EC"/>
    <w:rsid w:val="00E5725B"/>
    <w:rsid w:val="00E57809"/>
    <w:rsid w:val="00E57ED2"/>
    <w:rsid w:val="00E60DE6"/>
    <w:rsid w:val="00E634BB"/>
    <w:rsid w:val="00E63768"/>
    <w:rsid w:val="00E63C2A"/>
    <w:rsid w:val="00E6430C"/>
    <w:rsid w:val="00E646A6"/>
    <w:rsid w:val="00E6490E"/>
    <w:rsid w:val="00E661F1"/>
    <w:rsid w:val="00E66E00"/>
    <w:rsid w:val="00E670F4"/>
    <w:rsid w:val="00E70C47"/>
    <w:rsid w:val="00E72908"/>
    <w:rsid w:val="00E72FAA"/>
    <w:rsid w:val="00E7388E"/>
    <w:rsid w:val="00E73B4C"/>
    <w:rsid w:val="00E74C22"/>
    <w:rsid w:val="00E75D27"/>
    <w:rsid w:val="00E75D76"/>
    <w:rsid w:val="00E75EBB"/>
    <w:rsid w:val="00E7609C"/>
    <w:rsid w:val="00E802D1"/>
    <w:rsid w:val="00E80BC4"/>
    <w:rsid w:val="00E82C01"/>
    <w:rsid w:val="00E84359"/>
    <w:rsid w:val="00E8468F"/>
    <w:rsid w:val="00E8512A"/>
    <w:rsid w:val="00E85604"/>
    <w:rsid w:val="00E85DF0"/>
    <w:rsid w:val="00E86349"/>
    <w:rsid w:val="00E86845"/>
    <w:rsid w:val="00E86B31"/>
    <w:rsid w:val="00E86CBE"/>
    <w:rsid w:val="00E87525"/>
    <w:rsid w:val="00E87FA9"/>
    <w:rsid w:val="00E904F7"/>
    <w:rsid w:val="00E90E41"/>
    <w:rsid w:val="00E91779"/>
    <w:rsid w:val="00E91D08"/>
    <w:rsid w:val="00E92505"/>
    <w:rsid w:val="00E92DA3"/>
    <w:rsid w:val="00E934FA"/>
    <w:rsid w:val="00E942E2"/>
    <w:rsid w:val="00E9462A"/>
    <w:rsid w:val="00E95AC9"/>
    <w:rsid w:val="00E96E2A"/>
    <w:rsid w:val="00E97213"/>
    <w:rsid w:val="00E97FED"/>
    <w:rsid w:val="00EA0C48"/>
    <w:rsid w:val="00EA15F0"/>
    <w:rsid w:val="00EA1DCE"/>
    <w:rsid w:val="00EA4C31"/>
    <w:rsid w:val="00EA69E1"/>
    <w:rsid w:val="00EA79B4"/>
    <w:rsid w:val="00EB2DCE"/>
    <w:rsid w:val="00EB35E3"/>
    <w:rsid w:val="00EB4D0A"/>
    <w:rsid w:val="00EB4D5D"/>
    <w:rsid w:val="00EB4F1D"/>
    <w:rsid w:val="00EC0889"/>
    <w:rsid w:val="00EC0966"/>
    <w:rsid w:val="00EC1680"/>
    <w:rsid w:val="00EC235D"/>
    <w:rsid w:val="00EC23B7"/>
    <w:rsid w:val="00EC4804"/>
    <w:rsid w:val="00EC4A6D"/>
    <w:rsid w:val="00EC4F27"/>
    <w:rsid w:val="00EC56BE"/>
    <w:rsid w:val="00EC56DA"/>
    <w:rsid w:val="00EC58F5"/>
    <w:rsid w:val="00EC69BE"/>
    <w:rsid w:val="00EC6B35"/>
    <w:rsid w:val="00ED2686"/>
    <w:rsid w:val="00ED31B0"/>
    <w:rsid w:val="00ED3C88"/>
    <w:rsid w:val="00ED4225"/>
    <w:rsid w:val="00ED44C0"/>
    <w:rsid w:val="00ED4721"/>
    <w:rsid w:val="00ED47FA"/>
    <w:rsid w:val="00ED60F2"/>
    <w:rsid w:val="00ED6CCB"/>
    <w:rsid w:val="00ED6DC2"/>
    <w:rsid w:val="00ED757A"/>
    <w:rsid w:val="00EE1105"/>
    <w:rsid w:val="00EE19DA"/>
    <w:rsid w:val="00EE29B6"/>
    <w:rsid w:val="00EE391E"/>
    <w:rsid w:val="00EE398E"/>
    <w:rsid w:val="00EE4946"/>
    <w:rsid w:val="00EE5C52"/>
    <w:rsid w:val="00EE67B9"/>
    <w:rsid w:val="00EE738A"/>
    <w:rsid w:val="00EE7694"/>
    <w:rsid w:val="00EE7F56"/>
    <w:rsid w:val="00EF1BF8"/>
    <w:rsid w:val="00EF37FE"/>
    <w:rsid w:val="00EF458C"/>
    <w:rsid w:val="00EF494D"/>
    <w:rsid w:val="00EF61B8"/>
    <w:rsid w:val="00EF6299"/>
    <w:rsid w:val="00EF64DD"/>
    <w:rsid w:val="00EF7072"/>
    <w:rsid w:val="00EF77EA"/>
    <w:rsid w:val="00F00666"/>
    <w:rsid w:val="00F007F4"/>
    <w:rsid w:val="00F00E56"/>
    <w:rsid w:val="00F01C84"/>
    <w:rsid w:val="00F02EE2"/>
    <w:rsid w:val="00F03966"/>
    <w:rsid w:val="00F03CC1"/>
    <w:rsid w:val="00F041D9"/>
    <w:rsid w:val="00F04C69"/>
    <w:rsid w:val="00F04E50"/>
    <w:rsid w:val="00F07C11"/>
    <w:rsid w:val="00F11BEB"/>
    <w:rsid w:val="00F15DAD"/>
    <w:rsid w:val="00F166A4"/>
    <w:rsid w:val="00F16EBB"/>
    <w:rsid w:val="00F17495"/>
    <w:rsid w:val="00F1751F"/>
    <w:rsid w:val="00F17A59"/>
    <w:rsid w:val="00F20455"/>
    <w:rsid w:val="00F20840"/>
    <w:rsid w:val="00F219E4"/>
    <w:rsid w:val="00F22437"/>
    <w:rsid w:val="00F22955"/>
    <w:rsid w:val="00F22995"/>
    <w:rsid w:val="00F22BA4"/>
    <w:rsid w:val="00F232DB"/>
    <w:rsid w:val="00F2368F"/>
    <w:rsid w:val="00F2572B"/>
    <w:rsid w:val="00F25B4A"/>
    <w:rsid w:val="00F268A6"/>
    <w:rsid w:val="00F274EE"/>
    <w:rsid w:val="00F276E6"/>
    <w:rsid w:val="00F31EE2"/>
    <w:rsid w:val="00F32694"/>
    <w:rsid w:val="00F32711"/>
    <w:rsid w:val="00F32A94"/>
    <w:rsid w:val="00F32A95"/>
    <w:rsid w:val="00F33AC6"/>
    <w:rsid w:val="00F340E5"/>
    <w:rsid w:val="00F34252"/>
    <w:rsid w:val="00F348B8"/>
    <w:rsid w:val="00F34FC8"/>
    <w:rsid w:val="00F352E2"/>
    <w:rsid w:val="00F36718"/>
    <w:rsid w:val="00F368D7"/>
    <w:rsid w:val="00F36F64"/>
    <w:rsid w:val="00F36FDB"/>
    <w:rsid w:val="00F37592"/>
    <w:rsid w:val="00F37E04"/>
    <w:rsid w:val="00F40274"/>
    <w:rsid w:val="00F40F88"/>
    <w:rsid w:val="00F41404"/>
    <w:rsid w:val="00F418C8"/>
    <w:rsid w:val="00F41EED"/>
    <w:rsid w:val="00F42906"/>
    <w:rsid w:val="00F44DB9"/>
    <w:rsid w:val="00F45636"/>
    <w:rsid w:val="00F45C97"/>
    <w:rsid w:val="00F46F45"/>
    <w:rsid w:val="00F479EC"/>
    <w:rsid w:val="00F47EE8"/>
    <w:rsid w:val="00F5091C"/>
    <w:rsid w:val="00F50E2C"/>
    <w:rsid w:val="00F51172"/>
    <w:rsid w:val="00F51501"/>
    <w:rsid w:val="00F52216"/>
    <w:rsid w:val="00F52B96"/>
    <w:rsid w:val="00F54348"/>
    <w:rsid w:val="00F54541"/>
    <w:rsid w:val="00F55D68"/>
    <w:rsid w:val="00F56319"/>
    <w:rsid w:val="00F563F6"/>
    <w:rsid w:val="00F56491"/>
    <w:rsid w:val="00F56817"/>
    <w:rsid w:val="00F56BBF"/>
    <w:rsid w:val="00F57F29"/>
    <w:rsid w:val="00F57F5B"/>
    <w:rsid w:val="00F603FE"/>
    <w:rsid w:val="00F610E5"/>
    <w:rsid w:val="00F61B11"/>
    <w:rsid w:val="00F61C52"/>
    <w:rsid w:val="00F6356A"/>
    <w:rsid w:val="00F636EC"/>
    <w:rsid w:val="00F63F06"/>
    <w:rsid w:val="00F64329"/>
    <w:rsid w:val="00F64CA2"/>
    <w:rsid w:val="00F6515F"/>
    <w:rsid w:val="00F665C6"/>
    <w:rsid w:val="00F67531"/>
    <w:rsid w:val="00F67C90"/>
    <w:rsid w:val="00F7002C"/>
    <w:rsid w:val="00F7036C"/>
    <w:rsid w:val="00F70C77"/>
    <w:rsid w:val="00F717DB"/>
    <w:rsid w:val="00F721D8"/>
    <w:rsid w:val="00F74351"/>
    <w:rsid w:val="00F758F7"/>
    <w:rsid w:val="00F768A4"/>
    <w:rsid w:val="00F76916"/>
    <w:rsid w:val="00F76FCB"/>
    <w:rsid w:val="00F770A5"/>
    <w:rsid w:val="00F801D3"/>
    <w:rsid w:val="00F804C3"/>
    <w:rsid w:val="00F82947"/>
    <w:rsid w:val="00F82996"/>
    <w:rsid w:val="00F83ACB"/>
    <w:rsid w:val="00F83D61"/>
    <w:rsid w:val="00F85C9F"/>
    <w:rsid w:val="00F85FFA"/>
    <w:rsid w:val="00F86812"/>
    <w:rsid w:val="00F86DEF"/>
    <w:rsid w:val="00F87DD1"/>
    <w:rsid w:val="00F900D9"/>
    <w:rsid w:val="00F90B9A"/>
    <w:rsid w:val="00F911CE"/>
    <w:rsid w:val="00F92184"/>
    <w:rsid w:val="00F92F98"/>
    <w:rsid w:val="00F93F41"/>
    <w:rsid w:val="00F942AA"/>
    <w:rsid w:val="00F97F2E"/>
    <w:rsid w:val="00FA1728"/>
    <w:rsid w:val="00FA20B9"/>
    <w:rsid w:val="00FA262D"/>
    <w:rsid w:val="00FA3CBF"/>
    <w:rsid w:val="00FA7314"/>
    <w:rsid w:val="00FA795E"/>
    <w:rsid w:val="00FB01A1"/>
    <w:rsid w:val="00FB0D35"/>
    <w:rsid w:val="00FB1101"/>
    <w:rsid w:val="00FB17FA"/>
    <w:rsid w:val="00FB2338"/>
    <w:rsid w:val="00FB2391"/>
    <w:rsid w:val="00FB2937"/>
    <w:rsid w:val="00FB4B90"/>
    <w:rsid w:val="00FB55E9"/>
    <w:rsid w:val="00FB5D66"/>
    <w:rsid w:val="00FB62BF"/>
    <w:rsid w:val="00FB648E"/>
    <w:rsid w:val="00FB6FF9"/>
    <w:rsid w:val="00FB71F9"/>
    <w:rsid w:val="00FB7FAA"/>
    <w:rsid w:val="00FC05FD"/>
    <w:rsid w:val="00FC0E8A"/>
    <w:rsid w:val="00FC12C4"/>
    <w:rsid w:val="00FC17FE"/>
    <w:rsid w:val="00FC33F1"/>
    <w:rsid w:val="00FC4466"/>
    <w:rsid w:val="00FC5871"/>
    <w:rsid w:val="00FC6875"/>
    <w:rsid w:val="00FC7089"/>
    <w:rsid w:val="00FC72C4"/>
    <w:rsid w:val="00FC7CE5"/>
    <w:rsid w:val="00FD0900"/>
    <w:rsid w:val="00FD0FEB"/>
    <w:rsid w:val="00FD105A"/>
    <w:rsid w:val="00FD1226"/>
    <w:rsid w:val="00FD1251"/>
    <w:rsid w:val="00FD1658"/>
    <w:rsid w:val="00FD16EF"/>
    <w:rsid w:val="00FD1FE8"/>
    <w:rsid w:val="00FD2027"/>
    <w:rsid w:val="00FD2108"/>
    <w:rsid w:val="00FD2B42"/>
    <w:rsid w:val="00FD2F45"/>
    <w:rsid w:val="00FD3024"/>
    <w:rsid w:val="00FD3EEC"/>
    <w:rsid w:val="00FD45D3"/>
    <w:rsid w:val="00FD4F25"/>
    <w:rsid w:val="00FD5CFB"/>
    <w:rsid w:val="00FD6C35"/>
    <w:rsid w:val="00FD7BF3"/>
    <w:rsid w:val="00FE01D2"/>
    <w:rsid w:val="00FE0619"/>
    <w:rsid w:val="00FE0883"/>
    <w:rsid w:val="00FE0B79"/>
    <w:rsid w:val="00FE1BDF"/>
    <w:rsid w:val="00FE1D48"/>
    <w:rsid w:val="00FE1F69"/>
    <w:rsid w:val="00FE26BE"/>
    <w:rsid w:val="00FE3083"/>
    <w:rsid w:val="00FE3F35"/>
    <w:rsid w:val="00FE4A86"/>
    <w:rsid w:val="00FE5E46"/>
    <w:rsid w:val="00FE6F34"/>
    <w:rsid w:val="00FE7EE1"/>
    <w:rsid w:val="00FE7F91"/>
    <w:rsid w:val="00FF0588"/>
    <w:rsid w:val="00FF1A89"/>
    <w:rsid w:val="00FF1B69"/>
    <w:rsid w:val="00FF2BDF"/>
    <w:rsid w:val="00FF4EDF"/>
    <w:rsid w:val="00FF5E8A"/>
    <w:rsid w:val="00FF6D59"/>
    <w:rsid w:val="00FF702A"/>
    <w:rsid w:val="00FF7C0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424"/>
  </w:style>
  <w:style w:type="paragraph" w:styleId="Titre1">
    <w:name w:val="heading 1"/>
    <w:basedOn w:val="Normal"/>
    <w:next w:val="Normal"/>
    <w:link w:val="Titre1Car"/>
    <w:autoRedefine/>
    <w:uiPriority w:val="9"/>
    <w:qFormat/>
    <w:rsid w:val="00414AB8"/>
    <w:pPr>
      <w:keepNext/>
      <w:keepLines/>
      <w:spacing w:before="480" w:after="0"/>
      <w:jc w:val="center"/>
      <w:outlineLvl w:val="0"/>
    </w:pPr>
    <w:rPr>
      <w:rFonts w:ascii="Times New Roman" w:eastAsiaTheme="majorEastAsia" w:hAnsi="Times New Roman" w:cstheme="majorBidi"/>
      <w:b/>
      <w:bCs/>
      <w:sz w:val="32"/>
      <w:szCs w:val="28"/>
    </w:rPr>
  </w:style>
  <w:style w:type="paragraph" w:styleId="Titre2">
    <w:name w:val="heading 2"/>
    <w:basedOn w:val="Normal"/>
    <w:next w:val="Normal"/>
    <w:link w:val="Titre2Car"/>
    <w:autoRedefine/>
    <w:uiPriority w:val="9"/>
    <w:unhideWhenUsed/>
    <w:qFormat/>
    <w:rsid w:val="005B471C"/>
    <w:pPr>
      <w:keepNext/>
      <w:keepLines/>
      <w:spacing w:before="320" w:after="120"/>
      <w:jc w:val="both"/>
      <w:outlineLvl w:val="1"/>
    </w:pPr>
    <w:rPr>
      <w:rFonts w:ascii="Times New Roman" w:eastAsiaTheme="majorEastAsia" w:hAnsi="Times New Roman" w:cstheme="majorBidi"/>
      <w:b/>
      <w:bCs/>
      <w:sz w:val="28"/>
      <w:szCs w:val="26"/>
    </w:rPr>
  </w:style>
  <w:style w:type="paragraph" w:styleId="Titre3">
    <w:name w:val="heading 3"/>
    <w:basedOn w:val="Normal"/>
    <w:next w:val="Normal"/>
    <w:link w:val="Titre3Car"/>
    <w:autoRedefine/>
    <w:uiPriority w:val="9"/>
    <w:unhideWhenUsed/>
    <w:qFormat/>
    <w:rsid w:val="007A4443"/>
    <w:pPr>
      <w:keepNext/>
      <w:keepLines/>
      <w:spacing w:before="320" w:after="120"/>
      <w:jc w:val="both"/>
      <w:outlineLvl w:val="2"/>
    </w:pPr>
    <w:rPr>
      <w:rFonts w:ascii="Times New Roman" w:eastAsiaTheme="majorEastAsia" w:hAnsi="Times New Roman" w:cstheme="majorBidi"/>
      <w:b/>
      <w:bCs/>
      <w:sz w:val="24"/>
    </w:rPr>
  </w:style>
  <w:style w:type="paragraph" w:styleId="Titre4">
    <w:name w:val="heading 4"/>
    <w:basedOn w:val="Normal"/>
    <w:next w:val="Normal"/>
    <w:link w:val="Titre4Car"/>
    <w:autoRedefine/>
    <w:uiPriority w:val="9"/>
    <w:unhideWhenUsed/>
    <w:qFormat/>
    <w:rsid w:val="002F7CA3"/>
    <w:pPr>
      <w:keepNext/>
      <w:keepLines/>
      <w:spacing w:before="320" w:after="120"/>
      <w:jc w:val="both"/>
      <w:outlineLvl w:val="3"/>
    </w:pPr>
    <w:rPr>
      <w:rFonts w:ascii="Times New Roman" w:eastAsiaTheme="majorEastAsia" w:hAnsi="Times New Roman" w:cstheme="majorBidi"/>
      <w:b/>
      <w:bCs/>
      <w:iCs/>
      <w:sz w:val="24"/>
    </w:rPr>
  </w:style>
  <w:style w:type="paragraph" w:styleId="Titre5">
    <w:name w:val="heading 5"/>
    <w:basedOn w:val="Normal"/>
    <w:next w:val="Normal"/>
    <w:link w:val="Titre5Car"/>
    <w:autoRedefine/>
    <w:uiPriority w:val="9"/>
    <w:unhideWhenUsed/>
    <w:qFormat/>
    <w:rsid w:val="0037430F"/>
    <w:pPr>
      <w:keepNext/>
      <w:keepLines/>
      <w:spacing w:before="320" w:after="120"/>
      <w:jc w:val="both"/>
      <w:outlineLvl w:val="4"/>
    </w:pPr>
    <w:rPr>
      <w:rFonts w:ascii="Times New Roman" w:eastAsiaTheme="majorEastAsia" w:hAnsi="Times New Roman" w:cstheme="majorBidi"/>
      <w:b/>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4AB8"/>
    <w:rPr>
      <w:rFonts w:ascii="Times New Roman" w:eastAsiaTheme="majorEastAsia" w:hAnsi="Times New Roman" w:cstheme="majorBidi"/>
      <w:b/>
      <w:bCs/>
      <w:sz w:val="32"/>
      <w:szCs w:val="28"/>
    </w:rPr>
  </w:style>
  <w:style w:type="paragraph" w:styleId="Notedebasdepage">
    <w:name w:val="footnote text"/>
    <w:basedOn w:val="Normal"/>
    <w:link w:val="NotedebasdepageCar"/>
    <w:uiPriority w:val="99"/>
    <w:unhideWhenUsed/>
    <w:rsid w:val="00694424"/>
    <w:pPr>
      <w:spacing w:after="0" w:line="240" w:lineRule="auto"/>
    </w:pPr>
    <w:rPr>
      <w:sz w:val="20"/>
      <w:szCs w:val="20"/>
    </w:rPr>
  </w:style>
  <w:style w:type="character" w:customStyle="1" w:styleId="NotedebasdepageCar">
    <w:name w:val="Note de bas de page Car"/>
    <w:basedOn w:val="Policepardfaut"/>
    <w:link w:val="Notedebasdepage"/>
    <w:uiPriority w:val="99"/>
    <w:rsid w:val="00694424"/>
    <w:rPr>
      <w:sz w:val="20"/>
      <w:szCs w:val="20"/>
    </w:rPr>
  </w:style>
  <w:style w:type="character" w:styleId="Appelnotedebasdep">
    <w:name w:val="footnote reference"/>
    <w:basedOn w:val="Policepardfaut"/>
    <w:uiPriority w:val="99"/>
    <w:semiHidden/>
    <w:unhideWhenUsed/>
    <w:rsid w:val="00694424"/>
    <w:rPr>
      <w:vertAlign w:val="superscript"/>
    </w:rPr>
  </w:style>
  <w:style w:type="paragraph" w:styleId="Paragraphedeliste">
    <w:name w:val="List Paragraph"/>
    <w:basedOn w:val="Normal"/>
    <w:uiPriority w:val="34"/>
    <w:qFormat/>
    <w:rsid w:val="00694424"/>
    <w:pPr>
      <w:ind w:left="720"/>
      <w:contextualSpacing/>
    </w:pPr>
  </w:style>
  <w:style w:type="paragraph" w:styleId="En-tte">
    <w:name w:val="header"/>
    <w:basedOn w:val="Normal"/>
    <w:link w:val="En-tteCar"/>
    <w:uiPriority w:val="99"/>
    <w:unhideWhenUsed/>
    <w:rsid w:val="00694424"/>
    <w:pPr>
      <w:tabs>
        <w:tab w:val="center" w:pos="4536"/>
        <w:tab w:val="right" w:pos="9072"/>
      </w:tabs>
      <w:spacing w:after="0" w:line="240" w:lineRule="auto"/>
    </w:pPr>
  </w:style>
  <w:style w:type="character" w:customStyle="1" w:styleId="En-tteCar">
    <w:name w:val="En-tête Car"/>
    <w:basedOn w:val="Policepardfaut"/>
    <w:link w:val="En-tte"/>
    <w:uiPriority w:val="99"/>
    <w:rsid w:val="00694424"/>
  </w:style>
  <w:style w:type="paragraph" w:styleId="Pieddepage">
    <w:name w:val="footer"/>
    <w:basedOn w:val="Normal"/>
    <w:link w:val="PieddepageCar"/>
    <w:uiPriority w:val="99"/>
    <w:unhideWhenUsed/>
    <w:rsid w:val="006944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4424"/>
  </w:style>
  <w:style w:type="paragraph" w:styleId="Sansinterligne">
    <w:name w:val="No Spacing"/>
    <w:link w:val="SansinterligneCar"/>
    <w:uiPriority w:val="1"/>
    <w:qFormat/>
    <w:rsid w:val="00694424"/>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694424"/>
    <w:rPr>
      <w:rFonts w:eastAsiaTheme="minorEastAsia"/>
      <w:lang w:eastAsia="fr-FR"/>
    </w:rPr>
  </w:style>
  <w:style w:type="character" w:styleId="Lienhypertexte">
    <w:name w:val="Hyperlink"/>
    <w:basedOn w:val="Policepardfaut"/>
    <w:uiPriority w:val="99"/>
    <w:unhideWhenUsed/>
    <w:rsid w:val="00694424"/>
    <w:rPr>
      <w:color w:val="0000FF" w:themeColor="hyperlink"/>
      <w:u w:val="single"/>
    </w:rPr>
  </w:style>
  <w:style w:type="paragraph" w:customStyle="1" w:styleId="FooterOdd">
    <w:name w:val="Footer Odd"/>
    <w:basedOn w:val="Normal"/>
    <w:qFormat/>
    <w:rsid w:val="0007250E"/>
    <w:pPr>
      <w:pBdr>
        <w:top w:val="single" w:sz="4" w:space="1" w:color="4F81BD" w:themeColor="accent1"/>
      </w:pBdr>
      <w:spacing w:after="180" w:line="264" w:lineRule="auto"/>
      <w:jc w:val="right"/>
    </w:pPr>
    <w:rPr>
      <w:rFonts w:eastAsiaTheme="minorEastAsia"/>
      <w:color w:val="1F497D" w:themeColor="text2"/>
      <w:sz w:val="20"/>
      <w:szCs w:val="23"/>
      <w:lang w:eastAsia="fr-FR"/>
    </w:rPr>
  </w:style>
  <w:style w:type="character" w:customStyle="1" w:styleId="Titre2Car">
    <w:name w:val="Titre 2 Car"/>
    <w:basedOn w:val="Policepardfaut"/>
    <w:link w:val="Titre2"/>
    <w:uiPriority w:val="9"/>
    <w:rsid w:val="005B471C"/>
    <w:rPr>
      <w:rFonts w:ascii="Times New Roman" w:eastAsiaTheme="majorEastAsia" w:hAnsi="Times New Roman" w:cstheme="majorBidi"/>
      <w:b/>
      <w:bCs/>
      <w:sz w:val="28"/>
      <w:szCs w:val="26"/>
    </w:rPr>
  </w:style>
  <w:style w:type="character" w:customStyle="1" w:styleId="Titre3Car">
    <w:name w:val="Titre 3 Car"/>
    <w:basedOn w:val="Policepardfaut"/>
    <w:link w:val="Titre3"/>
    <w:uiPriority w:val="9"/>
    <w:rsid w:val="007A4443"/>
    <w:rPr>
      <w:rFonts w:ascii="Times New Roman" w:eastAsiaTheme="majorEastAsia" w:hAnsi="Times New Roman" w:cstheme="majorBidi"/>
      <w:b/>
      <w:bCs/>
      <w:sz w:val="24"/>
    </w:rPr>
  </w:style>
  <w:style w:type="paragraph" w:styleId="Titre">
    <w:name w:val="Title"/>
    <w:basedOn w:val="Normal"/>
    <w:next w:val="Normal"/>
    <w:link w:val="TitreCar"/>
    <w:uiPriority w:val="10"/>
    <w:rsid w:val="00573D9C"/>
    <w:pPr>
      <w:pBdr>
        <w:bottom w:val="single" w:sz="8" w:space="4" w:color="4F81BD" w:themeColor="accent1"/>
      </w:pBdr>
      <w:spacing w:after="300" w:line="240" w:lineRule="auto"/>
      <w:contextualSpacing/>
    </w:pPr>
    <w:rPr>
      <w:rFonts w:ascii="Times New Roman" w:eastAsiaTheme="majorEastAsia" w:hAnsi="Times New Roman" w:cstheme="majorBidi"/>
      <w:b/>
      <w:spacing w:val="5"/>
      <w:kern w:val="28"/>
      <w:sz w:val="24"/>
      <w:szCs w:val="52"/>
    </w:rPr>
  </w:style>
  <w:style w:type="character" w:customStyle="1" w:styleId="TitreCar">
    <w:name w:val="Titre Car"/>
    <w:basedOn w:val="Policepardfaut"/>
    <w:link w:val="Titre"/>
    <w:uiPriority w:val="10"/>
    <w:rsid w:val="00573D9C"/>
    <w:rPr>
      <w:rFonts w:ascii="Times New Roman" w:eastAsiaTheme="majorEastAsia" w:hAnsi="Times New Roman" w:cstheme="majorBidi"/>
      <w:b/>
      <w:spacing w:val="5"/>
      <w:kern w:val="28"/>
      <w:sz w:val="24"/>
      <w:szCs w:val="52"/>
    </w:rPr>
  </w:style>
  <w:style w:type="paragraph" w:styleId="Sous-titre">
    <w:name w:val="Subtitle"/>
    <w:basedOn w:val="Normal"/>
    <w:next w:val="Normal"/>
    <w:link w:val="Sous-titreCar"/>
    <w:autoRedefine/>
    <w:uiPriority w:val="11"/>
    <w:qFormat/>
    <w:rsid w:val="007F5ECB"/>
    <w:pPr>
      <w:numPr>
        <w:ilvl w:val="1"/>
      </w:numPr>
    </w:pPr>
    <w:rPr>
      <w:rFonts w:ascii="Times New Roman" w:eastAsiaTheme="majorEastAsia" w:hAnsi="Times New Roman" w:cstheme="majorBidi"/>
      <w:b/>
      <w:iCs/>
      <w:spacing w:val="15"/>
      <w:sz w:val="24"/>
      <w:szCs w:val="24"/>
    </w:rPr>
  </w:style>
  <w:style w:type="character" w:customStyle="1" w:styleId="Sous-titreCar">
    <w:name w:val="Sous-titre Car"/>
    <w:basedOn w:val="Policepardfaut"/>
    <w:link w:val="Sous-titre"/>
    <w:uiPriority w:val="11"/>
    <w:rsid w:val="007F5ECB"/>
    <w:rPr>
      <w:rFonts w:ascii="Times New Roman" w:eastAsiaTheme="majorEastAsia" w:hAnsi="Times New Roman" w:cstheme="majorBidi"/>
      <w:b/>
      <w:iCs/>
      <w:spacing w:val="15"/>
      <w:sz w:val="24"/>
      <w:szCs w:val="24"/>
    </w:rPr>
  </w:style>
  <w:style w:type="character" w:styleId="Emphaseple">
    <w:name w:val="Subtle Emphasis"/>
    <w:basedOn w:val="Policepardfaut"/>
    <w:uiPriority w:val="19"/>
    <w:qFormat/>
    <w:rsid w:val="00573D9C"/>
    <w:rPr>
      <w:rFonts w:ascii="Times New Roman" w:hAnsi="Times New Roman"/>
      <w:b/>
      <w:i/>
      <w:iCs/>
      <w:color w:val="auto"/>
      <w:sz w:val="24"/>
    </w:rPr>
  </w:style>
  <w:style w:type="character" w:customStyle="1" w:styleId="Titre4Car">
    <w:name w:val="Titre 4 Car"/>
    <w:basedOn w:val="Policepardfaut"/>
    <w:link w:val="Titre4"/>
    <w:uiPriority w:val="9"/>
    <w:rsid w:val="002F7CA3"/>
    <w:rPr>
      <w:rFonts w:ascii="Times New Roman" w:eastAsiaTheme="majorEastAsia" w:hAnsi="Times New Roman" w:cstheme="majorBidi"/>
      <w:b/>
      <w:bCs/>
      <w:iCs/>
      <w:sz w:val="24"/>
    </w:rPr>
  </w:style>
  <w:style w:type="character" w:customStyle="1" w:styleId="Titre5Car">
    <w:name w:val="Titre 5 Car"/>
    <w:basedOn w:val="Policepardfaut"/>
    <w:link w:val="Titre5"/>
    <w:uiPriority w:val="9"/>
    <w:rsid w:val="0037430F"/>
    <w:rPr>
      <w:rFonts w:ascii="Times New Roman" w:eastAsiaTheme="majorEastAsia" w:hAnsi="Times New Roman" w:cstheme="majorBidi"/>
      <w:b/>
      <w:i/>
      <w:sz w:val="24"/>
    </w:rPr>
  </w:style>
  <w:style w:type="paragraph" w:styleId="TM1">
    <w:name w:val="toc 1"/>
    <w:basedOn w:val="Normal"/>
    <w:next w:val="Normal"/>
    <w:autoRedefine/>
    <w:uiPriority w:val="39"/>
    <w:unhideWhenUsed/>
    <w:rsid w:val="003467A6"/>
    <w:pPr>
      <w:spacing w:before="120" w:after="0"/>
    </w:pPr>
    <w:rPr>
      <w:b/>
      <w:bCs/>
      <w:i/>
      <w:iCs/>
      <w:sz w:val="24"/>
      <w:szCs w:val="24"/>
    </w:rPr>
  </w:style>
  <w:style w:type="paragraph" w:styleId="TM2">
    <w:name w:val="toc 2"/>
    <w:basedOn w:val="Normal"/>
    <w:next w:val="Normal"/>
    <w:autoRedefine/>
    <w:uiPriority w:val="39"/>
    <w:unhideWhenUsed/>
    <w:rsid w:val="003467A6"/>
    <w:pPr>
      <w:spacing w:before="120" w:after="0"/>
      <w:ind w:left="220"/>
    </w:pPr>
    <w:rPr>
      <w:b/>
      <w:bCs/>
    </w:rPr>
  </w:style>
  <w:style w:type="paragraph" w:styleId="TM3">
    <w:name w:val="toc 3"/>
    <w:basedOn w:val="Normal"/>
    <w:next w:val="Normal"/>
    <w:autoRedefine/>
    <w:uiPriority w:val="39"/>
    <w:unhideWhenUsed/>
    <w:rsid w:val="003467A6"/>
    <w:pPr>
      <w:spacing w:after="0"/>
      <w:ind w:left="440"/>
    </w:pPr>
    <w:rPr>
      <w:sz w:val="20"/>
      <w:szCs w:val="20"/>
    </w:rPr>
  </w:style>
  <w:style w:type="paragraph" w:styleId="TM4">
    <w:name w:val="toc 4"/>
    <w:basedOn w:val="Normal"/>
    <w:next w:val="Normal"/>
    <w:autoRedefine/>
    <w:uiPriority w:val="39"/>
    <w:unhideWhenUsed/>
    <w:rsid w:val="003467A6"/>
    <w:pPr>
      <w:spacing w:after="0"/>
      <w:ind w:left="660"/>
    </w:pPr>
    <w:rPr>
      <w:sz w:val="20"/>
      <w:szCs w:val="20"/>
    </w:rPr>
  </w:style>
  <w:style w:type="paragraph" w:styleId="TM5">
    <w:name w:val="toc 5"/>
    <w:basedOn w:val="Normal"/>
    <w:next w:val="Normal"/>
    <w:autoRedefine/>
    <w:uiPriority w:val="39"/>
    <w:unhideWhenUsed/>
    <w:rsid w:val="003467A6"/>
    <w:pPr>
      <w:spacing w:after="0"/>
      <w:ind w:left="880"/>
    </w:pPr>
    <w:rPr>
      <w:sz w:val="20"/>
      <w:szCs w:val="20"/>
    </w:rPr>
  </w:style>
  <w:style w:type="paragraph" w:styleId="TM6">
    <w:name w:val="toc 6"/>
    <w:basedOn w:val="Normal"/>
    <w:next w:val="Normal"/>
    <w:autoRedefine/>
    <w:uiPriority w:val="39"/>
    <w:unhideWhenUsed/>
    <w:rsid w:val="003467A6"/>
    <w:pPr>
      <w:spacing w:after="0"/>
      <w:ind w:left="1100"/>
    </w:pPr>
    <w:rPr>
      <w:sz w:val="20"/>
      <w:szCs w:val="20"/>
    </w:rPr>
  </w:style>
  <w:style w:type="paragraph" w:styleId="TM7">
    <w:name w:val="toc 7"/>
    <w:basedOn w:val="Normal"/>
    <w:next w:val="Normal"/>
    <w:autoRedefine/>
    <w:uiPriority w:val="39"/>
    <w:unhideWhenUsed/>
    <w:rsid w:val="003467A6"/>
    <w:pPr>
      <w:spacing w:after="0"/>
      <w:ind w:left="1320"/>
    </w:pPr>
    <w:rPr>
      <w:sz w:val="20"/>
      <w:szCs w:val="20"/>
    </w:rPr>
  </w:style>
  <w:style w:type="paragraph" w:styleId="TM8">
    <w:name w:val="toc 8"/>
    <w:basedOn w:val="Normal"/>
    <w:next w:val="Normal"/>
    <w:autoRedefine/>
    <w:uiPriority w:val="39"/>
    <w:unhideWhenUsed/>
    <w:rsid w:val="003467A6"/>
    <w:pPr>
      <w:spacing w:after="0"/>
      <w:ind w:left="1540"/>
    </w:pPr>
    <w:rPr>
      <w:sz w:val="20"/>
      <w:szCs w:val="20"/>
    </w:rPr>
  </w:style>
  <w:style w:type="paragraph" w:styleId="TM9">
    <w:name w:val="toc 9"/>
    <w:basedOn w:val="Normal"/>
    <w:next w:val="Normal"/>
    <w:autoRedefine/>
    <w:uiPriority w:val="39"/>
    <w:unhideWhenUsed/>
    <w:rsid w:val="003467A6"/>
    <w:pPr>
      <w:spacing w:after="0"/>
      <w:ind w:left="176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424"/>
  </w:style>
  <w:style w:type="paragraph" w:styleId="Titre1">
    <w:name w:val="heading 1"/>
    <w:basedOn w:val="Normal"/>
    <w:next w:val="Normal"/>
    <w:link w:val="Titre1Car"/>
    <w:autoRedefine/>
    <w:uiPriority w:val="9"/>
    <w:qFormat/>
    <w:rsid w:val="00414AB8"/>
    <w:pPr>
      <w:keepNext/>
      <w:keepLines/>
      <w:spacing w:before="480" w:after="0"/>
      <w:jc w:val="center"/>
      <w:outlineLvl w:val="0"/>
    </w:pPr>
    <w:rPr>
      <w:rFonts w:ascii="Times New Roman" w:eastAsiaTheme="majorEastAsia" w:hAnsi="Times New Roman" w:cstheme="majorBidi"/>
      <w:b/>
      <w:bCs/>
      <w:sz w:val="32"/>
      <w:szCs w:val="28"/>
    </w:rPr>
  </w:style>
  <w:style w:type="paragraph" w:styleId="Titre2">
    <w:name w:val="heading 2"/>
    <w:basedOn w:val="Normal"/>
    <w:next w:val="Normal"/>
    <w:link w:val="Titre2Car"/>
    <w:autoRedefine/>
    <w:uiPriority w:val="9"/>
    <w:unhideWhenUsed/>
    <w:qFormat/>
    <w:rsid w:val="005B471C"/>
    <w:pPr>
      <w:keepNext/>
      <w:keepLines/>
      <w:spacing w:before="320" w:after="120"/>
      <w:jc w:val="both"/>
      <w:outlineLvl w:val="1"/>
    </w:pPr>
    <w:rPr>
      <w:rFonts w:ascii="Times New Roman" w:eastAsiaTheme="majorEastAsia" w:hAnsi="Times New Roman" w:cstheme="majorBidi"/>
      <w:b/>
      <w:bCs/>
      <w:sz w:val="28"/>
      <w:szCs w:val="26"/>
    </w:rPr>
  </w:style>
  <w:style w:type="paragraph" w:styleId="Titre3">
    <w:name w:val="heading 3"/>
    <w:basedOn w:val="Normal"/>
    <w:next w:val="Normal"/>
    <w:link w:val="Titre3Car"/>
    <w:autoRedefine/>
    <w:uiPriority w:val="9"/>
    <w:unhideWhenUsed/>
    <w:qFormat/>
    <w:rsid w:val="007A4443"/>
    <w:pPr>
      <w:keepNext/>
      <w:keepLines/>
      <w:spacing w:before="320" w:after="120"/>
      <w:jc w:val="both"/>
      <w:outlineLvl w:val="2"/>
    </w:pPr>
    <w:rPr>
      <w:rFonts w:ascii="Times New Roman" w:eastAsiaTheme="majorEastAsia" w:hAnsi="Times New Roman" w:cstheme="majorBidi"/>
      <w:b/>
      <w:bCs/>
      <w:sz w:val="24"/>
    </w:rPr>
  </w:style>
  <w:style w:type="paragraph" w:styleId="Titre4">
    <w:name w:val="heading 4"/>
    <w:basedOn w:val="Normal"/>
    <w:next w:val="Normal"/>
    <w:link w:val="Titre4Car"/>
    <w:autoRedefine/>
    <w:uiPriority w:val="9"/>
    <w:unhideWhenUsed/>
    <w:qFormat/>
    <w:rsid w:val="002F7CA3"/>
    <w:pPr>
      <w:keepNext/>
      <w:keepLines/>
      <w:spacing w:before="320" w:after="120"/>
      <w:jc w:val="both"/>
      <w:outlineLvl w:val="3"/>
    </w:pPr>
    <w:rPr>
      <w:rFonts w:ascii="Times New Roman" w:eastAsiaTheme="majorEastAsia" w:hAnsi="Times New Roman" w:cstheme="majorBidi"/>
      <w:b/>
      <w:bCs/>
      <w:iCs/>
      <w:sz w:val="24"/>
    </w:rPr>
  </w:style>
  <w:style w:type="paragraph" w:styleId="Titre5">
    <w:name w:val="heading 5"/>
    <w:basedOn w:val="Normal"/>
    <w:next w:val="Normal"/>
    <w:link w:val="Titre5Car"/>
    <w:autoRedefine/>
    <w:uiPriority w:val="9"/>
    <w:unhideWhenUsed/>
    <w:qFormat/>
    <w:rsid w:val="0037430F"/>
    <w:pPr>
      <w:keepNext/>
      <w:keepLines/>
      <w:spacing w:before="320" w:after="120"/>
      <w:jc w:val="both"/>
      <w:outlineLvl w:val="4"/>
    </w:pPr>
    <w:rPr>
      <w:rFonts w:ascii="Times New Roman" w:eastAsiaTheme="majorEastAsia" w:hAnsi="Times New Roman" w:cstheme="majorBidi"/>
      <w:b/>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4AB8"/>
    <w:rPr>
      <w:rFonts w:ascii="Times New Roman" w:eastAsiaTheme="majorEastAsia" w:hAnsi="Times New Roman" w:cstheme="majorBidi"/>
      <w:b/>
      <w:bCs/>
      <w:sz w:val="32"/>
      <w:szCs w:val="28"/>
    </w:rPr>
  </w:style>
  <w:style w:type="paragraph" w:styleId="Notedebasdepage">
    <w:name w:val="footnote text"/>
    <w:basedOn w:val="Normal"/>
    <w:link w:val="NotedebasdepageCar"/>
    <w:uiPriority w:val="99"/>
    <w:unhideWhenUsed/>
    <w:rsid w:val="00694424"/>
    <w:pPr>
      <w:spacing w:after="0" w:line="240" w:lineRule="auto"/>
    </w:pPr>
    <w:rPr>
      <w:sz w:val="20"/>
      <w:szCs w:val="20"/>
    </w:rPr>
  </w:style>
  <w:style w:type="character" w:customStyle="1" w:styleId="NotedebasdepageCar">
    <w:name w:val="Note de bas de page Car"/>
    <w:basedOn w:val="Policepardfaut"/>
    <w:link w:val="Notedebasdepage"/>
    <w:uiPriority w:val="99"/>
    <w:rsid w:val="00694424"/>
    <w:rPr>
      <w:sz w:val="20"/>
      <w:szCs w:val="20"/>
    </w:rPr>
  </w:style>
  <w:style w:type="character" w:styleId="Appelnotedebasdep">
    <w:name w:val="footnote reference"/>
    <w:basedOn w:val="Policepardfaut"/>
    <w:uiPriority w:val="99"/>
    <w:semiHidden/>
    <w:unhideWhenUsed/>
    <w:rsid w:val="00694424"/>
    <w:rPr>
      <w:vertAlign w:val="superscript"/>
    </w:rPr>
  </w:style>
  <w:style w:type="paragraph" w:styleId="Paragraphedeliste">
    <w:name w:val="List Paragraph"/>
    <w:basedOn w:val="Normal"/>
    <w:uiPriority w:val="34"/>
    <w:qFormat/>
    <w:rsid w:val="00694424"/>
    <w:pPr>
      <w:ind w:left="720"/>
      <w:contextualSpacing/>
    </w:pPr>
  </w:style>
  <w:style w:type="paragraph" w:styleId="En-tte">
    <w:name w:val="header"/>
    <w:basedOn w:val="Normal"/>
    <w:link w:val="En-tteCar"/>
    <w:uiPriority w:val="99"/>
    <w:unhideWhenUsed/>
    <w:rsid w:val="00694424"/>
    <w:pPr>
      <w:tabs>
        <w:tab w:val="center" w:pos="4536"/>
        <w:tab w:val="right" w:pos="9072"/>
      </w:tabs>
      <w:spacing w:after="0" w:line="240" w:lineRule="auto"/>
    </w:pPr>
  </w:style>
  <w:style w:type="character" w:customStyle="1" w:styleId="En-tteCar">
    <w:name w:val="En-tête Car"/>
    <w:basedOn w:val="Policepardfaut"/>
    <w:link w:val="En-tte"/>
    <w:uiPriority w:val="99"/>
    <w:rsid w:val="00694424"/>
  </w:style>
  <w:style w:type="paragraph" w:styleId="Pieddepage">
    <w:name w:val="footer"/>
    <w:basedOn w:val="Normal"/>
    <w:link w:val="PieddepageCar"/>
    <w:uiPriority w:val="99"/>
    <w:unhideWhenUsed/>
    <w:rsid w:val="006944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4424"/>
  </w:style>
  <w:style w:type="paragraph" w:styleId="Sansinterligne">
    <w:name w:val="No Spacing"/>
    <w:link w:val="SansinterligneCar"/>
    <w:uiPriority w:val="1"/>
    <w:qFormat/>
    <w:rsid w:val="00694424"/>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694424"/>
    <w:rPr>
      <w:rFonts w:eastAsiaTheme="minorEastAsia"/>
      <w:lang w:eastAsia="fr-FR"/>
    </w:rPr>
  </w:style>
  <w:style w:type="character" w:styleId="Lienhypertexte">
    <w:name w:val="Hyperlink"/>
    <w:basedOn w:val="Policepardfaut"/>
    <w:uiPriority w:val="99"/>
    <w:unhideWhenUsed/>
    <w:rsid w:val="00694424"/>
    <w:rPr>
      <w:color w:val="0000FF" w:themeColor="hyperlink"/>
      <w:u w:val="single"/>
    </w:rPr>
  </w:style>
  <w:style w:type="paragraph" w:customStyle="1" w:styleId="FooterOdd">
    <w:name w:val="Footer Odd"/>
    <w:basedOn w:val="Normal"/>
    <w:qFormat/>
    <w:rsid w:val="0007250E"/>
    <w:pPr>
      <w:pBdr>
        <w:top w:val="single" w:sz="4" w:space="1" w:color="4F81BD" w:themeColor="accent1"/>
      </w:pBdr>
      <w:spacing w:after="180" w:line="264" w:lineRule="auto"/>
      <w:jc w:val="right"/>
    </w:pPr>
    <w:rPr>
      <w:rFonts w:eastAsiaTheme="minorEastAsia"/>
      <w:color w:val="1F497D" w:themeColor="text2"/>
      <w:sz w:val="20"/>
      <w:szCs w:val="23"/>
      <w:lang w:eastAsia="fr-FR"/>
    </w:rPr>
  </w:style>
  <w:style w:type="character" w:customStyle="1" w:styleId="Titre2Car">
    <w:name w:val="Titre 2 Car"/>
    <w:basedOn w:val="Policepardfaut"/>
    <w:link w:val="Titre2"/>
    <w:uiPriority w:val="9"/>
    <w:rsid w:val="005B471C"/>
    <w:rPr>
      <w:rFonts w:ascii="Times New Roman" w:eastAsiaTheme="majorEastAsia" w:hAnsi="Times New Roman" w:cstheme="majorBidi"/>
      <w:b/>
      <w:bCs/>
      <w:sz w:val="28"/>
      <w:szCs w:val="26"/>
    </w:rPr>
  </w:style>
  <w:style w:type="character" w:customStyle="1" w:styleId="Titre3Car">
    <w:name w:val="Titre 3 Car"/>
    <w:basedOn w:val="Policepardfaut"/>
    <w:link w:val="Titre3"/>
    <w:uiPriority w:val="9"/>
    <w:rsid w:val="007A4443"/>
    <w:rPr>
      <w:rFonts w:ascii="Times New Roman" w:eastAsiaTheme="majorEastAsia" w:hAnsi="Times New Roman" w:cstheme="majorBidi"/>
      <w:b/>
      <w:bCs/>
      <w:sz w:val="24"/>
    </w:rPr>
  </w:style>
  <w:style w:type="paragraph" w:styleId="Titre">
    <w:name w:val="Title"/>
    <w:basedOn w:val="Normal"/>
    <w:next w:val="Normal"/>
    <w:link w:val="TitreCar"/>
    <w:uiPriority w:val="10"/>
    <w:rsid w:val="00573D9C"/>
    <w:pPr>
      <w:pBdr>
        <w:bottom w:val="single" w:sz="8" w:space="4" w:color="4F81BD" w:themeColor="accent1"/>
      </w:pBdr>
      <w:spacing w:after="300" w:line="240" w:lineRule="auto"/>
      <w:contextualSpacing/>
    </w:pPr>
    <w:rPr>
      <w:rFonts w:ascii="Times New Roman" w:eastAsiaTheme="majorEastAsia" w:hAnsi="Times New Roman" w:cstheme="majorBidi"/>
      <w:b/>
      <w:spacing w:val="5"/>
      <w:kern w:val="28"/>
      <w:sz w:val="24"/>
      <w:szCs w:val="52"/>
    </w:rPr>
  </w:style>
  <w:style w:type="character" w:customStyle="1" w:styleId="TitreCar">
    <w:name w:val="Titre Car"/>
    <w:basedOn w:val="Policepardfaut"/>
    <w:link w:val="Titre"/>
    <w:uiPriority w:val="10"/>
    <w:rsid w:val="00573D9C"/>
    <w:rPr>
      <w:rFonts w:ascii="Times New Roman" w:eastAsiaTheme="majorEastAsia" w:hAnsi="Times New Roman" w:cstheme="majorBidi"/>
      <w:b/>
      <w:spacing w:val="5"/>
      <w:kern w:val="28"/>
      <w:sz w:val="24"/>
      <w:szCs w:val="52"/>
    </w:rPr>
  </w:style>
  <w:style w:type="paragraph" w:styleId="Sous-titre">
    <w:name w:val="Subtitle"/>
    <w:basedOn w:val="Normal"/>
    <w:next w:val="Normal"/>
    <w:link w:val="Sous-titreCar"/>
    <w:autoRedefine/>
    <w:uiPriority w:val="11"/>
    <w:qFormat/>
    <w:rsid w:val="007F5ECB"/>
    <w:pPr>
      <w:numPr>
        <w:ilvl w:val="1"/>
      </w:numPr>
    </w:pPr>
    <w:rPr>
      <w:rFonts w:ascii="Times New Roman" w:eastAsiaTheme="majorEastAsia" w:hAnsi="Times New Roman" w:cstheme="majorBidi"/>
      <w:b/>
      <w:iCs/>
      <w:spacing w:val="15"/>
      <w:sz w:val="24"/>
      <w:szCs w:val="24"/>
    </w:rPr>
  </w:style>
  <w:style w:type="character" w:customStyle="1" w:styleId="Sous-titreCar">
    <w:name w:val="Sous-titre Car"/>
    <w:basedOn w:val="Policepardfaut"/>
    <w:link w:val="Sous-titre"/>
    <w:uiPriority w:val="11"/>
    <w:rsid w:val="007F5ECB"/>
    <w:rPr>
      <w:rFonts w:ascii="Times New Roman" w:eastAsiaTheme="majorEastAsia" w:hAnsi="Times New Roman" w:cstheme="majorBidi"/>
      <w:b/>
      <w:iCs/>
      <w:spacing w:val="15"/>
      <w:sz w:val="24"/>
      <w:szCs w:val="24"/>
    </w:rPr>
  </w:style>
  <w:style w:type="character" w:styleId="Emphaseple">
    <w:name w:val="Subtle Emphasis"/>
    <w:basedOn w:val="Policepardfaut"/>
    <w:uiPriority w:val="19"/>
    <w:qFormat/>
    <w:rsid w:val="00573D9C"/>
    <w:rPr>
      <w:rFonts w:ascii="Times New Roman" w:hAnsi="Times New Roman"/>
      <w:b/>
      <w:i/>
      <w:iCs/>
      <w:color w:val="auto"/>
      <w:sz w:val="24"/>
    </w:rPr>
  </w:style>
  <w:style w:type="character" w:customStyle="1" w:styleId="Titre4Car">
    <w:name w:val="Titre 4 Car"/>
    <w:basedOn w:val="Policepardfaut"/>
    <w:link w:val="Titre4"/>
    <w:uiPriority w:val="9"/>
    <w:rsid w:val="002F7CA3"/>
    <w:rPr>
      <w:rFonts w:ascii="Times New Roman" w:eastAsiaTheme="majorEastAsia" w:hAnsi="Times New Roman" w:cstheme="majorBidi"/>
      <w:b/>
      <w:bCs/>
      <w:iCs/>
      <w:sz w:val="24"/>
    </w:rPr>
  </w:style>
  <w:style w:type="character" w:customStyle="1" w:styleId="Titre5Car">
    <w:name w:val="Titre 5 Car"/>
    <w:basedOn w:val="Policepardfaut"/>
    <w:link w:val="Titre5"/>
    <w:uiPriority w:val="9"/>
    <w:rsid w:val="0037430F"/>
    <w:rPr>
      <w:rFonts w:ascii="Times New Roman" w:eastAsiaTheme="majorEastAsia" w:hAnsi="Times New Roman" w:cstheme="majorBidi"/>
      <w:b/>
      <w:i/>
      <w:sz w:val="24"/>
    </w:rPr>
  </w:style>
  <w:style w:type="paragraph" w:styleId="TM1">
    <w:name w:val="toc 1"/>
    <w:basedOn w:val="Normal"/>
    <w:next w:val="Normal"/>
    <w:autoRedefine/>
    <w:uiPriority w:val="39"/>
    <w:unhideWhenUsed/>
    <w:rsid w:val="003467A6"/>
    <w:pPr>
      <w:spacing w:before="120" w:after="0"/>
    </w:pPr>
    <w:rPr>
      <w:b/>
      <w:bCs/>
      <w:i/>
      <w:iCs/>
      <w:sz w:val="24"/>
      <w:szCs w:val="24"/>
    </w:rPr>
  </w:style>
  <w:style w:type="paragraph" w:styleId="TM2">
    <w:name w:val="toc 2"/>
    <w:basedOn w:val="Normal"/>
    <w:next w:val="Normal"/>
    <w:autoRedefine/>
    <w:uiPriority w:val="39"/>
    <w:unhideWhenUsed/>
    <w:rsid w:val="003467A6"/>
    <w:pPr>
      <w:spacing w:before="120" w:after="0"/>
      <w:ind w:left="220"/>
    </w:pPr>
    <w:rPr>
      <w:b/>
      <w:bCs/>
    </w:rPr>
  </w:style>
  <w:style w:type="paragraph" w:styleId="TM3">
    <w:name w:val="toc 3"/>
    <w:basedOn w:val="Normal"/>
    <w:next w:val="Normal"/>
    <w:autoRedefine/>
    <w:uiPriority w:val="39"/>
    <w:unhideWhenUsed/>
    <w:rsid w:val="003467A6"/>
    <w:pPr>
      <w:spacing w:after="0"/>
      <w:ind w:left="440"/>
    </w:pPr>
    <w:rPr>
      <w:sz w:val="20"/>
      <w:szCs w:val="20"/>
    </w:rPr>
  </w:style>
  <w:style w:type="paragraph" w:styleId="TM4">
    <w:name w:val="toc 4"/>
    <w:basedOn w:val="Normal"/>
    <w:next w:val="Normal"/>
    <w:autoRedefine/>
    <w:uiPriority w:val="39"/>
    <w:unhideWhenUsed/>
    <w:rsid w:val="003467A6"/>
    <w:pPr>
      <w:spacing w:after="0"/>
      <w:ind w:left="660"/>
    </w:pPr>
    <w:rPr>
      <w:sz w:val="20"/>
      <w:szCs w:val="20"/>
    </w:rPr>
  </w:style>
  <w:style w:type="paragraph" w:styleId="TM5">
    <w:name w:val="toc 5"/>
    <w:basedOn w:val="Normal"/>
    <w:next w:val="Normal"/>
    <w:autoRedefine/>
    <w:uiPriority w:val="39"/>
    <w:unhideWhenUsed/>
    <w:rsid w:val="003467A6"/>
    <w:pPr>
      <w:spacing w:after="0"/>
      <w:ind w:left="880"/>
    </w:pPr>
    <w:rPr>
      <w:sz w:val="20"/>
      <w:szCs w:val="20"/>
    </w:rPr>
  </w:style>
  <w:style w:type="paragraph" w:styleId="TM6">
    <w:name w:val="toc 6"/>
    <w:basedOn w:val="Normal"/>
    <w:next w:val="Normal"/>
    <w:autoRedefine/>
    <w:uiPriority w:val="39"/>
    <w:unhideWhenUsed/>
    <w:rsid w:val="003467A6"/>
    <w:pPr>
      <w:spacing w:after="0"/>
      <w:ind w:left="1100"/>
    </w:pPr>
    <w:rPr>
      <w:sz w:val="20"/>
      <w:szCs w:val="20"/>
    </w:rPr>
  </w:style>
  <w:style w:type="paragraph" w:styleId="TM7">
    <w:name w:val="toc 7"/>
    <w:basedOn w:val="Normal"/>
    <w:next w:val="Normal"/>
    <w:autoRedefine/>
    <w:uiPriority w:val="39"/>
    <w:unhideWhenUsed/>
    <w:rsid w:val="003467A6"/>
    <w:pPr>
      <w:spacing w:after="0"/>
      <w:ind w:left="1320"/>
    </w:pPr>
    <w:rPr>
      <w:sz w:val="20"/>
      <w:szCs w:val="20"/>
    </w:rPr>
  </w:style>
  <w:style w:type="paragraph" w:styleId="TM8">
    <w:name w:val="toc 8"/>
    <w:basedOn w:val="Normal"/>
    <w:next w:val="Normal"/>
    <w:autoRedefine/>
    <w:uiPriority w:val="39"/>
    <w:unhideWhenUsed/>
    <w:rsid w:val="003467A6"/>
    <w:pPr>
      <w:spacing w:after="0"/>
      <w:ind w:left="1540"/>
    </w:pPr>
    <w:rPr>
      <w:sz w:val="20"/>
      <w:szCs w:val="20"/>
    </w:rPr>
  </w:style>
  <w:style w:type="paragraph" w:styleId="TM9">
    <w:name w:val="toc 9"/>
    <w:basedOn w:val="Normal"/>
    <w:next w:val="Normal"/>
    <w:autoRedefine/>
    <w:uiPriority w:val="39"/>
    <w:unhideWhenUsed/>
    <w:rsid w:val="003467A6"/>
    <w:pPr>
      <w:spacing w:after="0"/>
      <w:ind w:left="1760"/>
    </w:pPr>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ubg.eu" TargetMode="External"/><Relationship Id="rId18" Type="http://schemas.openxmlformats.org/officeDocument/2006/relationships/hyperlink" Target="https://www.echr.coe.int" TargetMode="External"/><Relationship Id="rId26" Type="http://schemas.openxmlformats.org/officeDocument/2006/relationships/hyperlink" Target="https://www.gisti.org" TargetMode="External"/><Relationship Id="rId39" Type="http://schemas.openxmlformats.org/officeDocument/2006/relationships/hyperlink" Target="http://www.comesa.int" TargetMode="External"/><Relationship Id="rId3" Type="http://schemas.openxmlformats.org/officeDocument/2006/relationships/styles" Target="styles.xml"/><Relationship Id="rId21" Type="http://schemas.openxmlformats.org/officeDocument/2006/relationships/hyperlink" Target="https://www.mruni.eu" TargetMode="External"/><Relationship Id="rId34" Type="http://schemas.openxmlformats.org/officeDocument/2006/relationships/hyperlink" Target="http://www.ecowas.int" TargetMode="External"/><Relationship Id="rId42" Type="http://schemas.openxmlformats.org/officeDocument/2006/relationships/hyperlink" Target="https://eur-lex.europa.eu" TargetMode="External"/><Relationship Id="rId47" Type="http://schemas.openxmlformats.org/officeDocument/2006/relationships/hyperlink" Target="https://eur-lex.europa.eu" TargetMode="Externa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msdata.iucn.org" TargetMode="External"/><Relationship Id="rId17" Type="http://schemas.openxmlformats.org/officeDocument/2006/relationships/hyperlink" Target="http://www.uianet.org" TargetMode="External"/><Relationship Id="rId25" Type="http://schemas.openxmlformats.org/officeDocument/2006/relationships/hyperlink" Target="https://www.pravst.unist.hr" TargetMode="External"/><Relationship Id="rId33" Type="http://schemas.openxmlformats.org/officeDocument/2006/relationships/hyperlink" Target="http://www.ecowas.int" TargetMode="External"/><Relationship Id="rId38" Type="http://schemas.openxmlformats.org/officeDocument/2006/relationships/hyperlink" Target="https://textesdipannotes.files.wordpress.com" TargetMode="External"/><Relationship Id="rId46" Type="http://schemas.openxmlformats.org/officeDocument/2006/relationships/hyperlink" Target="http://www.ihrda.org" TargetMode="External"/><Relationship Id="rId2" Type="http://schemas.openxmlformats.org/officeDocument/2006/relationships/numbering" Target="numbering.xml"/><Relationship Id="rId16" Type="http://schemas.openxmlformats.org/officeDocument/2006/relationships/hyperlink" Target="http://www.institut-idef.org" TargetMode="External"/><Relationship Id="rId20" Type="http://schemas.openxmlformats.org/officeDocument/2006/relationships/hyperlink" Target="http://wwwdocplayer.fr" TargetMode="External"/><Relationship Id="rId29" Type="http://schemas.openxmlformats.org/officeDocument/2006/relationships/hyperlink" Target="http://www.ecowas.int" TargetMode="External"/><Relationship Id="rId41" Type="http://schemas.openxmlformats.org/officeDocument/2006/relationships/hyperlink" Target="https://eur-lex.europ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a-comm.eu" TargetMode="External"/><Relationship Id="rId24" Type="http://schemas.openxmlformats.org/officeDocument/2006/relationships/hyperlink" Target="https://www.legavox.fr" TargetMode="External"/><Relationship Id="rId32" Type="http://schemas.openxmlformats.org/officeDocument/2006/relationships/hyperlink" Target="http://www.caselaw.irdha.org" TargetMode="External"/><Relationship Id="rId37" Type="http://schemas.openxmlformats.org/officeDocument/2006/relationships/hyperlink" Target="http://www.uemoa.int" TargetMode="External"/><Relationship Id="rId40" Type="http://schemas.openxmlformats.org/officeDocument/2006/relationships/hyperlink" Target="http://www.wipo.int" TargetMode="External"/><Relationship Id="rId45" Type="http://schemas.openxmlformats.org/officeDocument/2006/relationships/hyperlink" Target="http://www.droit-afrique.com" TargetMode="External"/><Relationship Id="rId5" Type="http://schemas.openxmlformats.org/officeDocument/2006/relationships/webSettings" Target="webSettings.xml"/><Relationship Id="rId15" Type="http://schemas.openxmlformats.org/officeDocument/2006/relationships/hyperlink" Target="http://wwwccbe.eu/NTCdocument/vade-frpdf2" TargetMode="External"/><Relationship Id="rId23" Type="http://schemas.openxmlformats.org/officeDocument/2006/relationships/hyperlink" Target="http://www.granrut.com" TargetMode="External"/><Relationship Id="rId28" Type="http://schemas.openxmlformats.org/officeDocument/2006/relationships/hyperlink" Target="http://www.docplayer.fr" TargetMode="External"/><Relationship Id="rId36" Type="http://schemas.openxmlformats.org/officeDocument/2006/relationships/hyperlink" Target="http://www.uemoa.int"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infogm.org" TargetMode="External"/><Relationship Id="rId31" Type="http://schemas.openxmlformats.org/officeDocument/2006/relationships/hyperlink" Target="http://www.ecowas.int" TargetMode="External"/><Relationship Id="rId44" Type="http://schemas.openxmlformats.org/officeDocument/2006/relationships/hyperlink" Target="http://www.droit-afrique.com" TargetMode="External"/><Relationship Id="rId4" Type="http://schemas.openxmlformats.org/officeDocument/2006/relationships/settings" Target="settings.xml"/><Relationship Id="rId9" Type="http://schemas.openxmlformats.org/officeDocument/2006/relationships/package" Target="embeddings/Document_Microsoft_Office_Word1.docx"/><Relationship Id="rId14" Type="http://schemas.openxmlformats.org/officeDocument/2006/relationships/hyperlink" Target="https://www.google.com" TargetMode="External"/><Relationship Id="rId22" Type="http://schemas.openxmlformats.org/officeDocument/2006/relationships/hyperlink" Target="http://www.publications.ut-capitole.fr" TargetMode="External"/><Relationship Id="rId27" Type="http://schemas.openxmlformats.org/officeDocument/2006/relationships/hyperlink" Target="https://www.institut-idef.org" TargetMode="External"/><Relationship Id="rId30" Type="http://schemas.openxmlformats.org/officeDocument/2006/relationships/hyperlink" Target="http://www.ecowas.int" TargetMode="External"/><Relationship Id="rId35" Type="http://schemas.openxmlformats.org/officeDocument/2006/relationships/hyperlink" Target="http://www.ecowas.int" TargetMode="External"/><Relationship Id="rId43" Type="http://schemas.openxmlformats.org/officeDocument/2006/relationships/hyperlink" Target="https://eur-lex.europa.eu" TargetMode="External"/><Relationship Id="rId48" Type="http://schemas.openxmlformats.org/officeDocument/2006/relationships/fontTable" Target="fontTable.xml"/><Relationship Id="rId8" Type="http://schemas.openxmlformats.org/officeDocument/2006/relationships/image" Target="media/image1.emf"/></Relationships>
</file>

<file path=word/_rels/footnotes.xml.rels><?xml version="1.0" encoding="UTF-8" standalone="yes"?>
<Relationships xmlns="http://schemas.openxmlformats.org/package/2006/relationships"><Relationship Id="rId8" Type="http://schemas.openxmlformats.org/officeDocument/2006/relationships/hyperlink" Target="http://www.docplayer.fr" TargetMode="External"/><Relationship Id="rId13" Type="http://schemas.openxmlformats.org/officeDocument/2006/relationships/hyperlink" Target="http://www.cvce.eu" TargetMode="External"/><Relationship Id="rId18" Type="http://schemas.openxmlformats.org/officeDocument/2006/relationships/hyperlink" Target="https://www.publications.ut-capitole.fr" TargetMode="External"/><Relationship Id="rId3" Type="http://schemas.openxmlformats.org/officeDocument/2006/relationships/hyperlink" Target="https://www.legavox.fr" TargetMode="External"/><Relationship Id="rId21" Type="http://schemas.openxmlformats.org/officeDocument/2006/relationships/hyperlink" Target="http://www.institut-idef.org" TargetMode="External"/><Relationship Id="rId7" Type="http://schemas.openxmlformats.org/officeDocument/2006/relationships/hyperlink" Target="http://www.granrut.com" TargetMode="External"/><Relationship Id="rId12" Type="http://schemas.openxmlformats.org/officeDocument/2006/relationships/hyperlink" Target="https://halshs.archives-ouvertes.fr" TargetMode="External"/><Relationship Id="rId17" Type="http://schemas.openxmlformats.org/officeDocument/2006/relationships/hyperlink" Target="https://www.gisti.org" TargetMode="External"/><Relationship Id="rId2" Type="http://schemas.openxmlformats.org/officeDocument/2006/relationships/hyperlink" Target="https://www.infogm.org" TargetMode="External"/><Relationship Id="rId16" Type="http://schemas.openxmlformats.org/officeDocument/2006/relationships/hyperlink" Target="https://www.mruni.eu" TargetMode="External"/><Relationship Id="rId20" Type="http://schemas.openxmlformats.org/officeDocument/2006/relationships/hyperlink" Target="http://www.eubg.eu" TargetMode="External"/><Relationship Id="rId1" Type="http://schemas.openxmlformats.org/officeDocument/2006/relationships/hyperlink" Target="https://www.pravst.unist.hr" TargetMode="External"/><Relationship Id="rId6" Type="http://schemas.openxmlformats.org/officeDocument/2006/relationships/hyperlink" Target="http://www.africa21.org" TargetMode="External"/><Relationship Id="rId11" Type="http://schemas.openxmlformats.org/officeDocument/2006/relationships/hyperlink" Target="http://wwwccbe.eu" TargetMode="External"/><Relationship Id="rId24" Type="http://schemas.openxmlformats.org/officeDocument/2006/relationships/hyperlink" Target="https://cmsdata.iucn.org" TargetMode="External"/><Relationship Id="rId5" Type="http://schemas.openxmlformats.org/officeDocument/2006/relationships/hyperlink" Target="http://www.uianet.org" TargetMode="External"/><Relationship Id="rId15" Type="http://schemas.openxmlformats.org/officeDocument/2006/relationships/hyperlink" Target="https://www.google.com" TargetMode="External"/><Relationship Id="rId23" Type="http://schemas.openxmlformats.org/officeDocument/2006/relationships/hyperlink" Target="http://www.uianet.org" TargetMode="External"/><Relationship Id="rId10" Type="http://schemas.openxmlformats.org/officeDocument/2006/relationships/hyperlink" Target="http://www.institut-idef.org" TargetMode="External"/><Relationship Id="rId19" Type="http://schemas.openxmlformats.org/officeDocument/2006/relationships/hyperlink" Target="http://www.docplayer.fr" TargetMode="External"/><Relationship Id="rId4" Type="http://schemas.openxmlformats.org/officeDocument/2006/relationships/hyperlink" Target="https://www.echr.coe.int" TargetMode="External"/><Relationship Id="rId9" Type="http://schemas.openxmlformats.org/officeDocument/2006/relationships/hyperlink" Target="https://www.echr.coe.int" TargetMode="External"/><Relationship Id="rId14" Type="http://schemas.openxmlformats.org/officeDocument/2006/relationships/hyperlink" Target="https://www.era-comm.eu" TargetMode="External"/><Relationship Id="rId22" Type="http://schemas.openxmlformats.org/officeDocument/2006/relationships/hyperlink" Target="http://borderlesswa.com" TargetMode="External"/></Relationships>
</file>

<file path=word/theme/theme1.xml><?xml version="1.0" encoding="utf-8"?>
<a:theme xmlns:a="http://schemas.openxmlformats.org/drawingml/2006/main" name="Thème Offic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8C00A-F9BB-4146-B668-FC419206D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29568</Words>
  <Characters>162624</Characters>
  <Application>Microsoft Office Word</Application>
  <DocSecurity>0</DocSecurity>
  <Lines>1355</Lines>
  <Paragraphs>383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Sabiou</dc:creator>
  <cp:lastModifiedBy>Hilaire AKEREKORO</cp:lastModifiedBy>
  <cp:revision>2</cp:revision>
  <cp:lastPrinted>2020-04-16T20:47:00Z</cp:lastPrinted>
  <dcterms:created xsi:type="dcterms:W3CDTF">2020-04-17T17:48:00Z</dcterms:created>
  <dcterms:modified xsi:type="dcterms:W3CDTF">2020-04-17T17:48:00Z</dcterms:modified>
</cp:coreProperties>
</file>